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From Condemnation to Protection: Measuring International Human-Rights Responses</w:t>
      </w:r>
    </w:p>
    <w:p>
      <w:r>
        <w:t>Policy paper v1.0 · October 2026</w:t>
      </w:r>
    </w:p>
    <w:p>
      <w:r>
        <w:t>© 2026 Free China Movement</w:t>
      </w:r>
    </w:p>
    <w:p>
      <w:r>
        <w:t>Canonical version: https://freechina.live/governance-public-policy/international-china-policy-diplomacy/from-condemnation-to-protection/</w:t>
      </w:r>
    </w:p>
    <w:p>
      <w:r>
        <w:t>Section: Human rights and international accountability</w:t>
      </w:r>
    </w:p>
    <w:p/>
    <w:p>
      <w:pPr>
        <w:pStyle w:val="Heading1"/>
      </w:pPr>
      <w:r>
        <w:t>Research question</w:t>
      </w:r>
    </w:p>
    <w:p>
      <w:r>
        <w:t>How can foreign governments and international institutions make responses to serious human-rights concerns more useful to affected people and more accountable for results?</w:t>
      </w:r>
    </w:p>
    <w:p>
      <w:pPr>
        <w:pStyle w:val="Heading1"/>
      </w:pPr>
      <w:r>
        <w:t>Key findings</w:t>
      </w:r>
    </w:p>
    <w:p>
      <w:pPr>
        <w:pStyle w:val="ListBullet"/>
      </w:pPr>
      <w:r>
        <w:t>International responses should be evaluated as a chain — evidence, institutional finding, defined demand, protective action, follow-up, and remedy — because each link can fail for different reasons.</w:t>
      </w:r>
    </w:p>
    <w:p>
      <w:pPr>
        <w:pStyle w:val="ListBullet"/>
      </w:pPr>
      <w:r>
        <w:t>Documentation mechanisms (the Universal Periodic Review, OHCHR assessments) create the public record and recurring scrutiny; they are foundations, not enforcement, and a recommendation’s presence in the record is not evidence that it was implemented.</w:t>
      </w:r>
    </w:p>
    <w:p>
      <w:pPr>
        <w:pStyle w:val="ListBullet"/>
      </w:pPr>
      <w:r>
        <w:t>Targeted sanctions have specific, narrow legal effects — travel ban, asset freeze, prohibition on making funds available. A designation is an output; outcomes such as verified access, changed practice, release, or remedy require separate evidence.</w:t>
      </w:r>
    </w:p>
    <w:p>
      <w:pPr>
        <w:pStyle w:val="ListBullet"/>
      </w:pPr>
      <w:r>
        <w:t>Protection measures for people at risk serve a different purpose from sanctions and should not be held hostage to whether sanctions appear effective.</w:t>
      </w:r>
    </w:p>
    <w:p>
      <w:pPr>
        <w:pStyle w:val="Heading1"/>
      </w:pPr>
      <w:r>
        <w:t>The policy problem</w:t>
      </w:r>
    </w:p>
    <w:p>
      <w:r>
        <w:t>A government can condemn an abuse, document it, impose restrictions on named officials, offer protection to people at risk, or pursue legal accountability. These are different actions. They have different legal bases and different purposes. A public statement may make a position clear, but it does not itself secure access to a detainee, stop an abuse, or provide a remedy. A sanction can impose a cost on a listed person, but its announcement does not prove that conduct changed.</w:t>
      </w:r>
    </w:p>
    <w:p>
      <w:r>
        <w:t>International policy should therefore be evaluated as a chain: evidence, institutional finding, defined demand, protective action, follow-up, and remedy. Each link may fail for different reasons. The policy question is not whether governments should speak or act. It is how to connect each action to a verifiable objective while respecting due process and avoiding new harm.</w:t>
      </w:r>
    </w:p>
    <w:p>
      <w:pPr>
        <w:pStyle w:val="Heading1"/>
      </w:pPr>
      <w:r>
        <w:t>Documentation and review are foundations, not enforcement</w:t>
      </w:r>
    </w:p>
    <w:p>
      <w:r>
        <w:t>The UN Human Rights Council’s Universal Periodic Review examines the human-rights record of every UN member through national submissions, UN information, stakeholder input, recommendations, and an outcome process. The PRC’s fourth-cycle review was considered on 23 January 2024. OHCHR’s official country page publishes the national report, UN compilation, stakeholder information, questions, working-group report, and addendum recording the state’s response.[1]</w:t>
      </w:r>
    </w:p>
    <w:p>
      <w:r>
        <w:t>That structure creates a public record and gives states a recurring forum to make recommendations and report positions. It does not turn every recommendation into a binding ruling, and a recommendation’s presence in the record is not evidence that it was implemented. A meaningful follow-up should identify the exact recommendation, the relevant obligation, the responsible institution, and what observable evidence would demonstrate progress.</w:t>
      </w:r>
    </w:p>
    <w:p>
      <w:r>
        <w:t>The OHCHR assessment of Xinjiang, published on 31 August 2022, is a specific example of a UN human-rights office publishing an assessment alongside a separately linked state response. The publication page establishes the document’s date and availability; the assessment itself should be cited for its findings, and the state response should be read as the government’s position rather than collapsed into or omitted from the record.[2] FCM’s research standard is useful here: source both the finding and the response, attribute each accurately, and do not convert disagreement into certainty by editorial shorthand.</w:t>
      </w:r>
    </w:p>
    <w:p>
      <w:pPr>
        <w:pStyle w:val="Heading1"/>
      </w:pPr>
      <w:r>
        <w:t>Targeted sanctions are one tool, with a narrow direct effect</w:t>
      </w:r>
    </w:p>
    <w:p>
      <w:r>
        <w:t>The EU adopted a global human-rights sanctions framework in 2020. On 22 March 2021, the Council announced measures under that framework against individuals and entities connected to serious human-rights violations in several countries, including in the PRC. The Council stated that listed individuals were subject to an EU travel ban and asset freeze, and that EU persons and entities were prohibited from making funds available to those listed.[3] [4]</w:t>
      </w:r>
    </w:p>
    <w:p>
      <w:r>
        <w:t>These are specific legal consequences. They should not be described as a general embargo on a country, nor should the act of designation be treated as proof that a broader population has been held accountable. The design is targeted at named persons and entities. An assessment should examine the legal basis and evidence for each listing, the availability of review, implementation by member states, the effect on the listed actors, and any retaliation or unintended consequences.</w:t>
      </w:r>
    </w:p>
    <w:p>
      <w:r>
        <w:t>Sanctions can communicate that specific conduct has costs and can restrict access to assets or territory within the sanctioning jurisdiction. But the public existence of a sanctions measure does not establish that it changed policy or improved conditions for victims. Outcome claims require separate evidence. Review should ask whether the listed person’s conduct changed, whether the policy objective was achieved, whether another actor substituted for the target, and whether affected people received any material protection or remedy.</w:t>
      </w:r>
    </w:p>
    <w:p>
      <w:pPr>
        <w:pStyle w:val="Heading1"/>
      </w:pPr>
      <w:r>
        <w:t>A protection-first sequence</w:t>
      </w:r>
    </w:p>
    <w:p>
      <w:r>
        <w:t>Establish the record. Preserve primary evidence, document the chain of custody where relevant, compare independent sources, distinguish allegations from findings, and publish material uncertainty. The OHCHR assessment and UPR materials can serve different evidentiary purposes; neither should be described as a criminal judgment.[1] [2]</w:t>
      </w:r>
    </w:p>
    <w:p>
      <w:r>
        <w:t>State the standard and the demand. A diplomatic statement should identify which conduct is at issue, which legal or policy standard applies, and what action is requested. General condemnation can be useful as a signal of position, but it is difficult to evaluate without a specific request and follow-up date.</w:t>
      </w:r>
    </w:p>
    <w:p>
      <w:r>
        <w:t>Use institutional review to preserve continuity. UPR recommendations, treaty-body processes, special procedures, and other UN mechanisms can keep an issue in the record and prompt governments to answer. The value of the process should be measured by the quality of evidence, specificity of recommendations, transparency of responses, and whether follow-up records implementation—not by the number of statements alone.[1]</w:t>
      </w:r>
    </w:p>
    <w:p>
      <w:r>
        <w:t>Protect people directly. Where individuals face immediate danger, practical steps may include emergency visas, asylum processing, secure documentation channels, and support to credible civil-society organizations. Protection measures should be designed with affected people, account for risks to relatives and contacts, and avoid public disclosure that could expose them to retaliation. These measures serve a different purpose from sanctions and should not be held hostage to whether sanctions appear effective.</w:t>
      </w:r>
    </w:p>
    <w:p>
      <w:r>
        <w:t>Apply individual measures with procedural care. When targeted sanctions are considered, the government should publish the legal basis and factual rationale to the extent permitted, provide accessible procedures for review, coordinate with partners where appropriate, and explain the intended behavior change. A clear delisting test helps prevent a temporary measure from becoming a permanent symbol with no stated path to resolution.</w:t>
      </w:r>
    </w:p>
    <w:p>
      <w:r>
        <w:t>Report results and correct the record. Each action should have a review date. Public reporting should distinguish outputs—such as a meeting, designation, or recommendation—from outcomes, such as verified access, changed practice, release, investigation, or remedy. If evidence later contradicts the original account, the response should be corrected openly.</w:t>
      </w:r>
    </w:p>
    <w:p>
      <w:pPr>
        <w:pStyle w:val="Heading1"/>
      </w:pPr>
      <w:r>
        <w:t>Trade-offs and unresolved questions</w:t>
      </w:r>
    </w:p>
    <w:p>
      <w:r>
        <w:t>Public pressure may raise the visibility of a case, but it can also reduce diplomatic room or expose a person to more risk. Quiet engagement may create access or facilitate a specific intervention, but claims of success require evidence that the intervention contributed to the result. Targeted sanctions may focus costs on decision-makers, but may also invite retaliation, encourage symbolic countermeasures, or impose compliance costs on organizations that need legal clarity. UN review may preserve documentation without compelling a government to follow recommendations.</w:t>
      </w:r>
    </w:p>
    <w:p>
      <w:r>
        <w:t>These are not reasons to abandon the tools. They are reasons to state their aims separately and assess them separately. One instrument should not be credited with another instrument’s outcome. Nor should an absence of visible change be used to dismiss documentation, protection, or institutional monitoring that serves another purpose.</w:t>
      </w:r>
    </w:p>
    <w:p>
      <w:pPr>
        <w:pStyle w:val="Heading1"/>
      </w:pPr>
      <w:r>
        <w:t>Policy test</w:t>
      </w:r>
    </w:p>
    <w:p>
      <w:r>
        <w:t>Before announcing an international response, decision-makers should be able to answer six questions: What is established, and what remains disputed? Which institution has authority to act? What exact change or protection is sought? Who could be harmed by the proposed measure? What evidence would show progress or failure? When and how will the policy be reviewed?</w:t>
      </w:r>
    </w:p>
    <w:p>
      <w:r>
        <w:t>This framework does not determine which response is right in every case. It makes the choice auditable and keeps affected people, evidence, and remedies at the center of evaluation.</w:t>
      </w:r>
    </w:p>
    <w:p>
      <w:pPr>
        <w:pStyle w:val="Heading1"/>
      </w:pPr>
      <w:r>
        <w:t>References</w:t>
      </w:r>
    </w:p>
    <w:p>
      <w:r>
        <w:t>[1] OHCHR: Universal Periodic Review—China — https://www.ohchr.org/en/hr-bodies/upr/cn-index</w:t>
      </w:r>
    </w:p>
    <w:p>
      <w:r>
        <w:t>[2] OHCHR Assessment of human-rights concerns in Xinjiang — https://www.ohchr.org/en/documents/country-reports/ohchr-assessment-human-rights-concerns-xinjiang-uyghur-autonomous-region</w:t>
      </w:r>
    </w:p>
    <w:p>
      <w:r>
        <w:t>[3] Council of the EU: Global human-rights sanctions, 22 March 2021 — https://www.consilium.europa.eu/en/press/press-releases/2021/03/22/eu-imposes-further-sanctions-over-serious-violations-of-human-rights-around-the-world/</w:t>
      </w:r>
    </w:p>
    <w:p>
      <w:r>
        <w:t>[4] Council Regulation EU 2020/1998 on restrictive measures for serious human-rights violations — https://eur-lex.europa.eu/eli/reg/2020/1998/oj/eng</w:t>
      </w:r>
    </w:p>
    <w:p>
      <w:pPr>
        <w:pStyle w:val="Heading1"/>
      </w:pPr>
      <w:r>
        <w:t>Status and updates</w:t>
      </w:r>
    </w:p>
    <w:p>
      <w:r>
        <w:t>Policy paper v1.0, published October 2026 as part of the International China Policy &amp; Diplomacy research program. This paper will be updated as the evidence base develops.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