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Cooperation Without Illusion: Choosing Multilateral Tools for Policy Toward the PRC</w:t>
      </w:r>
    </w:p>
    <w:p>
      <w:r>
        <w:t>Policy paper v1.0 · October 2026</w:t>
      </w:r>
    </w:p>
    <w:p>
      <w:r>
        <w:t>© 2026 Free China Movement</w:t>
      </w:r>
    </w:p>
    <w:p>
      <w:r>
        <w:t>Canonical version: https://freechina.live/governance-public-policy/international-china-policy-diplomacy/cooperation-without-illusion/</w:t>
      </w:r>
    </w:p>
    <w:p>
      <w:r>
        <w:t>Section: Multilateral institutions and global issues</w:t>
      </w:r>
    </w:p>
    <w:p/>
    <w:p>
      <w:pPr>
        <w:pStyle w:val="Heading1"/>
      </w:pPr>
      <w:r>
        <w:t>Research question</w:t>
      </w:r>
    </w:p>
    <w:p>
      <w:r>
        <w:t>How can democratic governments decide when to cooperate, compete, or condition engagement with the Mainland Chinese Communist Government in multilateral institutions?</w:t>
      </w:r>
    </w:p>
    <w:p>
      <w:pPr>
        <w:pStyle w:val="Heading1"/>
      </w:pPr>
      <w:r>
        <w:t>Key findings</w:t>
      </w:r>
    </w:p>
    <w:p>
      <w:pPr>
        <w:pStyle w:val="ListBullet"/>
      </w:pPr>
      <w:r>
        <w:t>Multilateral institutions are not interchangeable: the UN Charter, the WTO dispute system, and the Paris Agreement differ in mandate, legal effect, and enforcement, and instruments should be chosen institution by institution.</w:t>
      </w:r>
    </w:p>
    <w:p>
      <w:pPr>
        <w:pStyle w:val="ListBullet"/>
      </w:pPr>
      <w:r>
        <w:t>The WTO dispute system decides claims under covered trade agreements; it is not a general tribunal for political coercion, human-rights allegations, or security disputes unrelated to those agreements.</w:t>
      </w:r>
    </w:p>
    <w:p>
      <w:pPr>
        <w:pStyle w:val="ListBullet"/>
      </w:pPr>
      <w:r>
        <w:t>The Paris model runs on nationally determined contributions, transparency, and a global stocktake — shared measurement and iterative ambition without converting every national target into an adjudicated obligation.</w:t>
      </w:r>
    </w:p>
    <w:p>
      <w:pPr>
        <w:pStyle w:val="ListBullet"/>
      </w:pPr>
      <w:r>
        <w:t>Cooperation in one forum is not evidence of trust or political convergence, and disagreement in one forum should not automatically disable every other forum.</w:t>
      </w:r>
    </w:p>
    <w:p>
      <w:pPr>
        <w:pStyle w:val="ListBullet"/>
      </w:pPr>
      <w:r>
        <w:t>A six-part decision test — mandate, obligations, evidence capacity, non-compliance process, cost-bearers, measurable success — should determine the instrument chosen.</w:t>
      </w:r>
    </w:p>
    <w:p>
      <w:pPr>
        <w:pStyle w:val="Heading1"/>
      </w:pPr>
      <w:r>
        <w:t>The policy problem</w:t>
      </w:r>
    </w:p>
    <w:p>
      <w:r>
        <w:t>“Multilateralism” is not a single tool. The UN Charter sets purposes and principles for international conduct. The WTO provides a system for disputes about covered trade agreements. The Paris Agreement organizes climate commitments through nationally determined contributions, reporting, and review. These arrangements differ in membership, subject matter, legal effect, and enforcement. Treating them as interchangeable leads to promises that institutions cannot keep and to missed opportunities where shared rules could still produce measurable value.</w:t>
      </w:r>
    </w:p>
    <w:p>
      <w:r>
        <w:t>The argument of this paper is straightforward: governments should choose instruments institution by institution. Cooperation is most credible where the mandate is clear, contributions can be tracked, and shared interests are material. Competition or conditionality is more appropriate where a specific rule, security concern, or rights obligation is at issue. A disagreement in one forum should not automatically disable every other forum, but cooperation in one area should not be portrayed as evidence of trust or political convergence.</w:t>
      </w:r>
    </w:p>
    <w:p>
      <w:pPr>
        <w:pStyle w:val="Heading1"/>
      </w:pPr>
      <w:r>
        <w:t>What multilateral institutions can do</w:t>
      </w:r>
    </w:p>
    <w:p>
      <w:r>
        <w:t>The UN Charter describes peace and security, peaceful settlement of disputes, international cooperation, and respect for human rights as purposes of the organization. It also establishes sovereign equality and a prohibition on threats or uses of force, while setting out the UN system’s institutional roles.[1] Those provisions provide a common reference point. They do not make all political disagreements justiciable or guarantee that every member will support the same interpretation or action.</w:t>
      </w:r>
    </w:p>
    <w:p>
      <w:r>
        <w:t>In trade, the WTO Dispute Settlement Understanding provides defined steps. Members are expected to consider consultations, requests must identify the measures and legal basis, and the system allows panels when consultations do not resolve a dispute. The Understanding also provides for voluntary good offices, conciliation, and mediation.[2] This is an institutional route for claims under covered trade agreements. It is not a general tribunal for political coercion, human-rights allegations, or security disputes unrelated to those agreements.</w:t>
      </w:r>
    </w:p>
    <w:p>
      <w:r>
        <w:t>Climate cooperation follows another design. Under the Paris Agreement, each party is to prepare, communicate, and maintain successive nationally determined contributions, pursue domestic mitigation measures, and provide information to support transparency and understanding. The Agreement also includes a global stocktake and recognizes differentiated responsibilities and national circumstances.[3] This model can support shared measurement and iterative ambition without converting every national target into the same kind of adjudicated obligation. Policymakers should be clear about that distinction when they make claims about compliance or failure.</w:t>
      </w:r>
    </w:p>
    <w:p>
      <w:pPr>
        <w:pStyle w:val="Heading1"/>
      </w:pPr>
      <w:r>
        <w:t>A differentiated approach</w:t>
      </w:r>
    </w:p>
    <w:p>
      <w:r>
        <w:t>Cooperate where there is a defined shared problem and a measurable contribution. Climate reporting, public-health preparedness, maritime safety, and other transboundary issues can produce practical benefits even when governments disagree sharply elsewhere. Cooperation should be tied to a specific institutional mandate, with transparent data and periodic review. Joint activity is a means of managing a shared problem, not an endorsement of another government’s domestic conduct.</w:t>
      </w:r>
    </w:p>
    <w:p>
      <w:r>
        <w:t>Use legal procedures where a covered rule applies. A trade disagreement should be framed through the relevant agreement and evidence. The DSU’s consultation and panel procedures can clarify legal claims and preserve a record. Where a dispute is suspended, negotiated, or withdrawn, the record should say so; it should not imply that a tribunal resolved the underlying allegations if no report was issued.[2]</w:t>
      </w:r>
    </w:p>
    <w:p>
      <w:r>
        <w:t>Use human-rights forums for documentation and scrutiny. The UN system can compile national, UN, and stakeholder information and produce recommendations. Those outputs can preserve an evidentiary record and structure public follow-up. They are different from binding judicial determinations or coercive enforcement. A companion paper in this series, From Condemnation to Protection, assesses these mechanisms in depth.</w:t>
      </w:r>
    </w:p>
    <w:p>
      <w:r>
        <w:t>Keep conditionality tied to the bargain. If a government conditions a benefit on a specific action, it should say what the condition is, how it will be verified, what follows from compliance or non-compliance, and whether the benefit is reversible. This lesson echoes the existing FCM PNTR/WTO paper, which distinguishes commercial commitments, monitoring, and political conditionality rather than treating them as the same instrument.[4]</w:t>
      </w:r>
    </w:p>
    <w:p>
      <w:r>
        <w:t>Protect institutional legitimacy. Governments should avoid using technical bodies to stage unrelated political confrontations or withholding cooperation where the direct cost falls on affected populations. At the same time, a forum’s technical mandate should not be used to erase a rights concern that its governing rules require members to address. The relevant question is what the institution is empowered to do and what evidence it can produce.</w:t>
      </w:r>
    </w:p>
    <w:p>
      <w:pPr>
        <w:pStyle w:val="Heading1"/>
      </w:pPr>
      <w:r>
        <w:t>A six-part decision test</w:t>
      </w:r>
    </w:p>
    <w:p>
      <w:r>
        <w:t>Before choosing a forum, policymakers should ask: Does the institution have a clear mandate over the issue? What obligations or commitments apply? What evidence can the institution collect or verify? What process exists when a member does not comply? Who bears the costs of suspension or retaliation? What measurable result would count as success?</w:t>
      </w:r>
    </w:p>
    <w:p>
      <w:r>
        <w:t>The answers should determine the instrument. If a body can only recommend, call its output a recommendation. If it can hear a claim under a specific agreement, state the legal basis and procedural status. If the arrangement depends on voluntary reporting, evaluate transparency and follow-through rather than describing a national target as automatically enforced by an external court.</w:t>
      </w:r>
    </w:p>
    <w:p>
      <w:pPr>
        <w:pStyle w:val="Heading1"/>
      </w:pPr>
      <w:r>
        <w:t>Trade-offs and limits</w:t>
      </w:r>
    </w:p>
    <w:p>
      <w:r>
        <w:t>Selective cooperation can be criticized as inconsistent or insufficiently principled. Broad linkage can be criticized for making useful cooperation hostage to issues the institution cannot resolve. Both critiques can be valid in different cases. The answer is not a universal rule that separates every issue or links every issue. It is a published rationale that identifies the mandate, the objective, the affected people, and the review standard.</w:t>
      </w:r>
    </w:p>
    <w:p>
      <w:r>
        <w:t>The G7’s 2023 Hiroshima Communiqué illustrates how governments can state both shared values and practical cooperation priorities, including economic resilience, climate, global health, and opposition to unilateral changes by force or coercion.[5] It is a political commitment among participating governments, not a universal legal rule and not proof of implementation. FCM analysis should treat it as evidence of an articulated position, then separately examine what governments did.</w:t>
      </w:r>
    </w:p>
    <w:p>
      <w:pPr>
        <w:pStyle w:val="Heading1"/>
      </w:pPr>
      <w:r>
        <w:t>Conclusion</w:t>
      </w:r>
    </w:p>
    <w:p>
      <w:r>
        <w:t>Multilateral institutions are neither neutral substitutes for diplomacy nor empty stages. They can define procedures, generate records, coordinate action, and sometimes create enforceable commitments. Their capacity varies by mandate. A credible policy therefore uses the forum suited to the claim, distinguishes stated commitments from results, and preserves cooperation where it produces verifiable benefits without confusing it with political endorsement.</w:t>
      </w:r>
    </w:p>
    <w:p>
      <w:pPr>
        <w:pStyle w:val="Heading1"/>
      </w:pPr>
      <w:r>
        <w:t>References</w:t>
      </w:r>
    </w:p>
    <w:p>
      <w:r>
        <w:t>[1] United Nations Charter — https://www.un.org/en/about-us/un-charter/full-text</w:t>
      </w:r>
    </w:p>
    <w:p>
      <w:r>
        <w:t>[2] WTO Dispute Settlement Understanding — https://www.wto.org/english/tratop_e/dispu_e/dsu_e.htm</w:t>
      </w:r>
    </w:p>
    <w:p>
      <w:r>
        <w:t>[3] Paris Agreement — https://unfccc.int/sites/default/files/resource/parisagreement_publication.pdf</w:t>
      </w:r>
    </w:p>
    <w:p>
      <w:r>
        <w:t>[4] What Was Not Conditioned? PNTR/WTO, Political Leverage and Lessons for Future China Policy — https://freechina.live/governance-public-policy/international-china-policy-diplomacy/pntr-wto-political-leverage-lessons/</w:t>
      </w:r>
    </w:p>
    <w:p>
      <w:r>
        <w:t>[5] G7 Hiroshima Leaders’ Communiqué — https://www.consilium.europa.eu/en/press/press-releases/2023/05/20/g7-hiroshima-leaders-communique/</w:t>
      </w:r>
    </w:p>
    <w:p>
      <w:pPr>
        <w:pStyle w:val="Heading1"/>
      </w:pPr>
      <w:r>
        <w:t>Status and updates</w:t>
      </w:r>
    </w:p>
    <w:p>
      <w:r>
        <w:t>Policy paper v1.0, published October 2026 as part of the International China Policy &amp; Diplomacy research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