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Essential Services Never Stop: Continuity of Health, Education, Water, Power, Transport, Safety and Records</w:t>
      </w:r>
    </w:p>
    <w:p>
      <w:r>
        <w:t>Working paper v1.0 · October 2026</w:t>
      </w:r>
    </w:p>
    <w:p>
      <w:r>
        <w:t>© 2026 Free China Movement</w:t>
      </w:r>
    </w:p>
    <w:p>
      <w:r>
        <w:t>Canonical version: https://freechina.live/governance-public-policy/third-republic-governance-blueprints/local-government-civil-service-public-administration/lg-05-essential-services-continuity/</w:t>
      </w:r>
    </w:p>
    <w:p>
      <w:r>
        <w:t>Section: Local Government, Civil Service &amp; Public Administration (Local Government working blueprint)</w:t>
      </w:r>
    </w:p>
    <w:p/>
    <w:p>
      <w:pPr>
        <w:pStyle w:val="Heading1"/>
      </w:pPr>
      <w:r>
        <w:t>1. The question this paper answers</w:t>
      </w:r>
    </w:p>
    <w:p>
      <w:r>
        <w:t>When political authority changes hands, who keeps the hospitals open, the schools staffed, the water flowing, the lights on, the trains running, the streets policed, and the records office functioning? The question this paper answers is practical rather than ceremonial: how a transitional administration guarantees that a change of political office never produces a gap in which every actor assumes someone else is responsible for the services people depend on. It asks what must be assigned in advance, by name and institution, so that essential services continue without interruption across any handover, and what fallback exists when the planned assignment fails.</w:t>
      </w:r>
    </w:p>
    <w:p>
      <w:pPr>
        <w:pStyle w:val="Heading1"/>
      </w:pPr>
      <w:r>
        <w:t>2. The blueprint's current position</w:t>
      </w:r>
    </w:p>
    <w:p>
      <w:r>
        <w:t>The Local Government working blueprint, Civil Service &amp; Public Administration takes an explicit stand against two opposite failures: a power vacuum and immediate administrative centralization (https://freechina.live/governance-public-policy/third-republic-governance-blueprints/local-government-civil-service-public-administration/). Its position relevant to this paper is threefold. First, it proposes four distinguishable layers of transition government — local continuity of essential services; cross-regional coordination for infrastructure and logistics; a national layer for genuinely nationwide functions; and a constitutional/representative layer supplying durable authorization — and it insists that coordination does not automatically create command authority. Second, its section on essential public-service continuity states that health care, education, water, electricity, transportation, public safety, local fiscal operations, records, and citizen-facing administration "should remain continuously assigned to accountable institutions," and that the handover design "links authority, receipt, custody, execution, disposition and review, with explicit fallback responsibility for critical services." Related design elements on the same blueprint page reinforce this direction: transparent local budgets and auditable transfers, public pending-matters registers across changes of administration, role-based digital permissions with institutional account custody, and "service clocks and handover exceptions for continuity failures." The page also carries a standing caveat: exact national-versus-local competence allocations remain subject to constitutional and legal research and future lawful representative decision.</w:t>
      </w:r>
    </w:p>
    <w:p>
      <w:pPr>
        <w:pStyle w:val="Heading1"/>
      </w:pPr>
      <w:r>
        <w:t>3. Evidence and comparative options</w:t>
      </w:r>
    </w:p>
    <w:p>
      <w:r>
        <w:t>Three evidence streams — business-continuity doctrine, post-conflict administration practice, and post-communist transition experience — support one practical conclusion: service continuity is won or lost in handover design, not in the proclamation that follows it.</w:t>
      </w:r>
    </w:p>
    <w:p>
      <w:r>
        <w:t>Business continuity and essential-services doctrine. The international standard ISO 22301 (Societal security — Business continuity management systems) frames continuity as a planned management system: identify threats to critical processes, conduct impact assessments, set recovery objectives, and exercise the plans before disruption strikes (https://www.imq.it/en/management-systems-certification/iso-22301-business-continuity-management-systems), a standard "increasingly required" of public-sector and critical-infrastructure operators (https://www.erm.com/ermcvs/services/certification-management-systems/iso-22301-certification/). The standard's transferable lesson for a transition administration is that continuity is not a slogan but a documented system — assigned owners, tested procedures, recovery time objectives — for each critical service.</w:t>
      </w:r>
    </w:p>
    <w:p>
      <w:r>
        <w:t>Post-conflict administration practice. UNDP's guidance on core government functions in crisis treats continuity of government and public-service delivery as a first-order task: digital portals and decentralized digital infrastructure keep services running, give citizens access to vital records and relief applications, and enable remote government-to-citizen communication during disruption (https://digitalguides.undp.org/guide/core-government-functions-and-local-governance-in-crisis). UNDP's operational framework orders the immediate recovery phase around restoring water, power, schools, hospitals, and protecting civil registration, payments, and benefit systems (https://www.undp.org/crisis/beyond-crisis-series/5). Its stabilization experience in Iraq — over 3,800 projects supporting the return of nearly five million displaced persons through restoration of water, power, roads, schools, and hospitals (https://www.undp.org/crisis/beyond-crisis-series/5) — shows that restoring services is inseparable from restoring legitimacy: people judge a new administration by whether the taps run.</w:t>
      </w:r>
    </w:p>
    <w:p>
      <w:r>
        <w:t>Post-communist civil-service transitions. After 1989, Central and Eastern European experience confirmed the classical-model expectation that "whereas governments may change frequently, career civil servants remain, accumulate experience and skills, and guarantee continuity of the state" (https://www.academia.edu/16952850/The_public_service_in_the_political_transition_An_overview). Assessments of the region find that politicized purges and turnover were the recurring threat: treating the civil service as spoils destabilized the state apparatus, while a professional public-service culture was the condition for continuity (https://www.academia.edu/36961308/Three_Decades_Four_Phases_Public_Administration_Development_in_Central_and_Eastern_Europe_1989_2017). The lesson is asymmetric: replacing the top political layer is normal, but decapitating the operating layer that runs hospitals, grids, and registries is a self-inflicted wound.</w:t>
      </w:r>
    </w:p>
    <w:p>
      <w:r>
        <w:t>The negative case: collective purges. Iraq after 2003 is the cautionary counter-example. Coalition Provisional Authority Order 1 (de-Ba'athification) and Order 2 (army dissolution) removed senior Ba'ath Party members from government positions (https://newsletter-ictj-d9.pantheonsite.io/sites/default/files/ICTJ-Iraq-Accountability-Briefing-2008-English.pdf). Contemporary accounts report the decision "effectively eliminated the leadership and top technical capacity for universities, hospitals, transportation, electricity and communications," including roughly 40,000 schoolteachers, while the CIA station chief in Baghdad warned it would drive the technicians who operated the electric, water, and transport infrastructure underground (https://b5d7ac.staticwbm.com/20140209141101/http://pfiffner.gmu.edu/files/pdfs/Articles/CPA%20Orders,%20Iraq%20PDF.pdf); a later review concluded that removal of ministry heads caused "all government funding, revenue, and services" to halt (https://journals.library.cornell.edu/tmpfiles/CIAR_9_2_2.pdf). Collective removal of service-operating personnel is therefore a documented continuity failure, not a neutral tool.</w:t>
      </w:r>
    </w:p>
    <w:p>
      <w:r>
        <w:t>ROC (Taiwan) local service delivery and records. ROC (Taiwan) offers a working model of records-based service continuity. Its household-registration offices, present in every district, manage population registration and certificates, with citizens able to obtain certificates at any office regardless of district (https://renwu-house.kcg.gov.tw/en/cp.aspx?n=1D4A4EBE0DB43BDC). Reforms have moved to let citizens register marriages and divorces, and obtain marriage and name-change records, at any household registration office nationwide (https://english.ey.gov.tw/Page/61BF20C3E89B856/3e8c7e4c-ec2b-4155-862e-4192d1a53e8e). The system was deliberately separated from police administration in 1992 to conform to democratic principles (https://ws.moi.gov.tw/001/Upload/OldFile/outline/2018ebook_en/files/basic-html/page30.html). Two lessons follow: a single authoritative civil-registration spine, operated by a civilian agency and accessible from any local office, lets services continue regardless of which authority sits above it — and its protection matters, because when a new generation of registration systems went online with failures, citizens were unable to register births, marriages, or deaths, badly damaging the image of systems citizens had previously rated highest in satisfaction; the Executive Yuan then required rigorous review, risk control, and crisis planning before any future system transition (https://english.ey.gov.tw/Page/61BF20C3E89B856/676c897c-5edd-41ff-bf80-2c6582c72dad).</w:t>
      </w:r>
    </w:p>
    <w:p>
      <w:r>
        <w:t>Options on the table. Synthesizing the evidence: (a) named-custodian continuity — every critical service assigned in advance to an accountable institution with a named fallback, documented and rehearsed; (b) personnel-protected continuity — professional personnel retained by default, individual misconduct handled through separate procedures rather than collective removal; and (c) records-first continuity — registration, property, fiscal, and operating records secured and kept accessible as the substrate on which every other service runs.</w:t>
      </w:r>
    </w:p>
    <w:p>
      <w:pPr>
        <w:pStyle w:val="Heading1"/>
      </w:pPr>
      <w:r>
        <w:t>4. Recommended design — numbered provisions</w:t>
      </w:r>
    </w:p>
    <w:p>
      <w:pPr>
        <w:pStyle w:val="ListNumber"/>
      </w:pPr>
      <w:r>
        <w:t>No-gap assignment. Before any transfer of authority takes effect, each critical service (health, education, water, power, transport, public safety, local fiscal operations, records, citizen-facing administration) shall be assigned by name to an accountable operating institution. A change of political office shall never create an interval in which responsibility is unassigned.</w:t>
      </w:r>
    </w:p>
    <w:p>
      <w:pPr>
        <w:pStyle w:val="ListNumber"/>
      </w:pPr>
      <w:r>
        <w:t>Fallback responsibility. Every assignment under provision 1 shall carry a named fallback holder who assumes responsibility automatically when the primary holder fails or is unreachable, and shall carry a maximum tolerable gap measured in hours — the "service clock."</w:t>
      </w:r>
    </w:p>
    <w:p>
      <w:pPr>
        <w:pStyle w:val="ListNumber"/>
      </w:pPr>
      <w:r>
        <w:t>Handover chain. Each transfer of a service shall be documented through the linked chain of authority, receipt, custody, execution, disposition, and review, consistent with the blueprint's handover design, so that at any moment it is known who authorized, who received, who holds, and who may dispose of the service's assets and mandates.</w:t>
      </w:r>
    </w:p>
    <w:p>
      <w:pPr>
        <w:pStyle w:val="ListNumber"/>
      </w:pPr>
      <w:r>
        <w:t>Retention of operating personnel. Professional personnel who operate essential services shall be retained by default across any political transition. Removal, reassignment, or discipline of individuals shall proceed on separate evidence and procedures addressing individual misconduct, and shall never be implemented as collective removal by institutional membership.</w:t>
      </w:r>
    </w:p>
    <w:p>
      <w:pPr>
        <w:pStyle w:val="ListNumber"/>
      </w:pPr>
      <w:r>
        <w:t>Records protection and custody. Civil-registration, property, fiscal, medical, educational, and operational records shall be secured against destruction, tampering, or loss at the earliest phase of transition; custody shall be institutional (role-based, with institutional accounts) rather than personal, and records systems shall remain continuously accessible to the offices that deliver services.</w:t>
      </w:r>
    </w:p>
    <w:p>
      <w:pPr>
        <w:pStyle w:val="ListNumber"/>
      </w:pPr>
      <w:r>
        <w:t>Fiscal continuity. Local fiscal operations — payrolls for service workers, operating budgets, and auditable transfers — shall be maintained through any handover; fiscal power shall follow lawful responsibility, and no transition measure shall interrupt the payment chain that keeps hospitals, schools, and utilities staffed.</w:t>
      </w:r>
    </w:p>
    <w:p>
      <w:pPr>
        <w:pStyle w:val="ListNumber"/>
      </w:pPr>
      <w:r>
        <w:t>Pending-matters registers. Every transition body shall maintain a public pending-matters register across changes of administration, so that uncompleted service decisions, maintenance schedules, and supply contracts are visible to successors and cannot silently lapse.</w:t>
      </w:r>
    </w:p>
    <w:p>
      <w:pPr>
        <w:pStyle w:val="ListNumber"/>
      </w:pPr>
      <w:r>
        <w:t>Coordination without command. Cross-regional coordination of infrastructure and logistics shall use explicitly defined joint mandates — members, scope, decision rules, finance, duration, withdrawal, and dispute resolution — and coordination shall not be presumed to create command authority over local service operators.</w:t>
      </w:r>
    </w:p>
    <w:p>
      <w:pPr>
        <w:pStyle w:val="ListNumber"/>
      </w:pPr>
      <w:r>
        <w:t>Service clocks and handover exceptions. A public service clock shall record any interruption of a critical service during transition; every handover exception shall be logged, explained, and reviewed, and the log shall be publicly correctable where findings or records are wrong.</w:t>
      </w:r>
    </w:p>
    <w:p>
      <w:pPr>
        <w:pStyle w:val="ListNumber"/>
      </w:pPr>
      <w:r>
        <w:t>Rehearsal requirement. Continuity plans shall be exercised before they are needed. Tabletop and field rehearsals of service handovers — including records-system failover and fallback activation — shall be conducted and documented, with lessons applied to the plans.</w:t>
      </w:r>
    </w:p>
    <w:p>
      <w:pPr>
        <w:pStyle w:val="Heading1"/>
      </w:pPr>
      <w:r>
        <w:t>5. Open questions and risks</w:t>
      </w:r>
    </w:p>
    <w:p>
      <w:r>
        <w:t>Several questions remain honestly unresolved. First, the exact national-versus-local allocation of competence over services that cross jurisdictions — water grids, power networks, transport corridors — is subject to future lawful decision and is not settled by this paper. Second, the lawful basis for temporary continuity authority during the earliest transition hours (who may issue binding orders on utilities before elected or appointed bodies are seated) requires legal research; any gap here is the single greatest risk of real service failure. Third, protecting records at scale requires technical capacity — secure copies, access control, chain-of-custody — that a transition administration may not possess on day one. Fourth, the fiscal channel: service continuity without a functioning payroll and supplier-payment chain will collapse within weeks, and fiscal allocation across layers remains an open design question. Fifth, there is a tension between transparency (public registers, public service clocks) and operational security (not disclosing grid or registry vulnerabilities); the balance must be set service by service, not by blanket rule. Finally, the comparative evidence base has limits: the post-1989 European cases, Iraq, and ROC (Taiwan) each differ from a Mainland transition in scale, institutional texture, and political dynamics, and none should be treated as a template.</w:t>
      </w:r>
    </w:p>
    <w:p>
      <w:pPr>
        <w:pStyle w:val="Heading1"/>
      </w:pPr>
      <w:r>
        <w:t>6. Cross-links</w:t>
      </w:r>
    </w:p>
    <w:p>
      <w:pPr>
        <w:pStyle w:val="ListBullet"/>
      </w:pPr>
      <w:r>
        <w:t>The working blueprint, Local Government, Civil Service &amp; Public Administration: the governing design direction for layered transition government, service continuity, professional civil service, and accountability mechanisms cited throughout this paper (https://freechina.live/governance-public-policy/third-republic-governance-blueprints/local-government-civil-service-public-administration/).</w:t>
      </w:r>
    </w:p>
    <w:p>
      <w:pPr>
        <w:pStyle w:val="ListBullet"/>
      </w:pPr>
      <w:r>
        <w:t>LG-02, "Layered Government in Transition": the structural companion on how the four layers of transition government are constituted and related; this paper assumes that layering and designs the service assignments within it.</w:t>
      </w:r>
    </w:p>
    <w:p>
      <w:pPr>
        <w:pStyle w:val="ListBullet"/>
      </w:pPr>
      <w:r>
        <w:t>LG-06, "The Handover Protocol": the procedural companion on how authority is transferred; this paper's provisions 1–3, 7, and 9 should be read as the service-continuity implementation of that protocol's handover mechanics.</w:t>
      </w:r>
    </w:p>
    <w:p>
      <w:r>
        <w:t>Also published in this series: Allocating Powers Between National and Local Government (https://freechina.live/governance-public-policy/third-republic-governance-blueprints/local-government-civil-service-public-administration/lg-01-allocating-powers-national-local/) · A Professional Civil Service, Not a Faction's Staff (https://freechina.live/governance-public-policy/third-republic-governance-blueprints/local-government-civil-service-public-administration/lg-07-professional-civil-service/) · Administrative Accountability in Practice (https://freechina.live/governance-public-policy/third-republic-governance-blueprints/local-government-civil-service-public-administration/lg-11-administrative-accountability/).</w:t>
      </w:r>
    </w:p>
    <w:p>
      <w:r>
        <w:t>Working paper v1.0, published October 2026 as part of the Local Government, Civil Service &amp; Public Administration blueprint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