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bidi w:val="0"/>
        <w:spacing w:before="240" w:after="283"/>
        <w:jc w:val="left"/>
        <w:rPr/>
      </w:pPr>
      <w:r>
        <w:rPr/>
        <w:t>Yu Yingshi — Perfil mediático y archivo</w:t>
      </w:r>
    </w:p>
    <w:p>
      <w:pPr>
        <w:pStyle w:val="Heading1"/>
        <w:bidi w:val="0"/>
        <w:jc w:val="left"/>
        <w:rPr/>
      </w:pPr>
      <w:r>
        <w:rPr/>
        <w:t>Yu Yingshi — Perfil mediático y archivo</w:t>
      </w:r>
    </w:p>
    <w:p>
      <w:pPr>
        <w:pStyle w:val="BodyText"/>
        <w:bidi w:val="0"/>
        <w:jc w:val="left"/>
        <w:rPr/>
      </w:pPr>
      <w:r>
        <w:rPr/>
        <w:t xml:space="preserve">Este archivo respalda el perfil canónico de </w:t>
      </w:r>
      <w:hyperlink r:id="rId2">
        <w:r>
          <w:rPr>
            <w:rStyle w:val="Hyperlink"/>
          </w:rPr>
          <w:t>Yu Yingshi (</w:t>
        </w:r>
        <w:r>
          <w:rPr>
            <w:rStyle w:val="Hyperlink"/>
          </w:rPr>
          <w:t>余英时</w:t>
        </w:r>
        <w:r>
          <w:rPr>
            <w:rStyle w:val="Hyperlink"/>
          </w:rPr>
          <w:t>)</w:t>
        </w:r>
      </w:hyperlink>
      <w:r>
        <w:rPr/>
        <w:t>.</w:t>
      </w:r>
    </w:p>
    <w:p>
      <w:pPr>
        <w:pStyle w:val="Heading2"/>
        <w:bidi w:val="0"/>
        <w:jc w:val="left"/>
        <w:rPr/>
      </w:pPr>
      <w:r>
        <w:rPr/>
        <w:t>Línea base de fuentes</w:t>
      </w:r>
    </w:p>
    <w:p>
      <w:pPr>
        <w:pStyle w:val="BodyText"/>
        <w:bidi w:val="0"/>
        <w:jc w:val="left"/>
        <w:rPr/>
      </w:pPr>
      <w:r>
        <w:rPr/>
        <w:t>El paquete de fuentes P1 registra material de Beijing Spring junto con fuentes académicas e históricas independientes sobre la erudición de Yu, sus compromisos democráticos y su apoyo a los exiliados chinos después del 4 de junio. Los registros institucionales y archivísticos de Princeton siguen siendo objetivos prioritarios de enriquecimiento.</w:t>
      </w:r>
    </w:p>
    <w:p>
      <w:pPr>
        <w:pStyle w:val="Heading2"/>
        <w:bidi w:val="0"/>
        <w:jc w:val="left"/>
        <w:rPr/>
      </w:pPr>
      <w:r>
        <w:rPr/>
        <w:t>Alcance del archivo</w:t>
      </w:r>
    </w:p>
    <w:p>
      <w:pPr>
        <w:pStyle w:val="BodyText"/>
        <w:bidi w:val="0"/>
        <w:jc w:val="left"/>
        <w:rPr/>
      </w:pPr>
      <w:r>
        <w:rPr/>
        <w:t>Esta página consolidará biografías institucionales, entrevistas, declaraciones contemporáneas, registros de archivo, fotografías, audio/vídeo y reportajes relevantes para el papel público de Yu Yingshi. Las afirmaciones sobre cargos o actividades organizativas específicas seguirán atribuidas hasta que las respalden registros primarios o independientes.</w:t>
      </w:r>
    </w:p>
    <w:p>
      <w:pPr>
        <w:pStyle w:val="BodyText"/>
        <w:bidi w:val="0"/>
        <w:jc w:val="left"/>
        <w:rPr/>
      </w:pPr>
      <w:r>
        <w:rPr/>
        <w:t>Última revisión: 20 de septiembre de 2026.</w:t>
      </w:r>
    </w:p>
    <w:p>
      <w:pPr>
        <w:pStyle w:val="BodyText"/>
        <w:bidi w:val="0"/>
        <w:spacing w:before="0" w:after="283"/>
        <w:jc w:val="left"/>
        <w:rPr/>
      </w:pPr>
      <w:hyperlink r:id="rId3">
        <w:r>
          <w:rPr>
            <w:rStyle w:val="Hyperlink"/>
          </w:rPr>
          <w:t>Yu Yingshi (</w:t>
        </w:r>
        <w:r>
          <w:rPr>
            <w:rStyle w:val="Hyperlink"/>
          </w:rPr>
          <w:t>余英时</w:t>
        </w:r>
        <w:r>
          <w:rPr>
            <w:rStyle w:val="Hyperlink"/>
          </w:rPr>
          <w:t>)</w:t>
        </w:r>
      </w:hyperlink>
    </w:p>
    <w:sectPr>
      <w:type w:val="nextPage"/>
      <w:pgSz w:w="11906" w:h="16838"/>
      <w:pgMar w:left="1134" w:right="567" w:gutter="0" w:header="0" w:top="567" w:footer="0" w:bottom="567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Noto Sans">
    <w:charset w:val="01"/>
    <w:family w:val="auto"/>
    <w:pitch w:val="variable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view w:val="web"/>
  <w:zoom w:percent="100"/>
  <w:defaultTabStop w:val="1134"/>
  <w:autoHyphenation w:val="true"/>
  <w:compat>
    <w:compatSetting w:name="compatibilityMode" w:uri="http://schemas.microsoft.com/office/word" w:val="12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Noto Sans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</w:pPr>
    <w:rPr>
      <w:rFonts w:ascii="Liberation Serif" w:hAnsi="Liberation Serif" w:eastAsia="Noto Serif CJK SC" w:cs="Noto Sans Devanagari"/>
      <w:color w:val="auto"/>
      <w:sz w:val="24"/>
      <w:szCs w:val="24"/>
      <w:lang w:val="en-US" w:eastAsia="zh-CN" w:bidi="hi-IN"/>
    </w:rPr>
  </w:style>
  <w:style w:type="paragraph" w:styleId="Heading1">
    <w:name w:val="Heading 1"/>
    <w:basedOn w:val="Heading"/>
    <w:next w:val="BodyText"/>
    <w:qFormat/>
    <w:pPr/>
    <w:rPr>
      <w:rFonts w:ascii="Noto Sans" w:hAnsi="Noto Sans"/>
      <w:b/>
      <w:bCs/>
      <w:sz w:val="48"/>
      <w:szCs w:val="44"/>
    </w:rPr>
  </w:style>
  <w:style w:type="paragraph" w:styleId="Heading2">
    <w:name w:val="Heading 2"/>
    <w:basedOn w:val="Heading"/>
    <w:next w:val="BodyText"/>
    <w:qFormat/>
    <w:pPr>
      <w:spacing w:before="200" w:after="120"/>
      <w:outlineLvl w:val="1"/>
    </w:pPr>
    <w:rPr>
      <w:rFonts w:ascii="Liberation Serif" w:hAnsi="Liberation Serif" w:eastAsia="Noto Serif CJK SC" w:cs="Noto Sans Devanagari"/>
      <w:b/>
      <w:bCs/>
      <w:sz w:val="36"/>
      <w:szCs w:val="36"/>
    </w:rPr>
  </w:style>
  <w:style w:type="character" w:styleId="EndnoteCharacters">
    <w:name w:val="Endnote Characters"/>
    <w:qFormat/>
    <w:rPr/>
  </w:style>
  <w:style w:type="character" w:styleId="FootnoteCharacters">
    <w:name w:val="Footnote Characters"/>
    <w:qFormat/>
    <w:rPr/>
  </w:style>
  <w:style w:type="character" w:styleId="Hyperlink">
    <w:name w:val="Hyperlink"/>
    <w:rPr>
      <w:color w:val="000080"/>
      <w:u w:val="single"/>
    </w:rPr>
  </w:style>
  <w:style w:type="paragraph" w:styleId="HorizontalLine">
    <w:name w:val="Horizontal Line"/>
    <w:basedOn w:val="Normal"/>
    <w:next w:val="BodyText"/>
    <w:qFormat/>
    <w:pPr>
      <w:pBdr>
        <w:bottom w:val="double" w:sz="2" w:space="0" w:color="808080"/>
      </w:pBdr>
      <w:spacing w:before="0" w:after="283"/>
    </w:pPr>
    <w:rPr>
      <w:sz w:val="12"/>
    </w:rPr>
  </w:style>
  <w:style w:type="paragraph" w:styleId="EnvelopeReturn">
    <w:name w:val="Envelope Return"/>
    <w:basedOn w:val="Normal"/>
    <w:pPr/>
    <w:rPr>
      <w:i/>
    </w:rPr>
  </w:style>
  <w:style w:type="paragraph" w:styleId="TableContents">
    <w:name w:val="Table Contents"/>
    <w:basedOn w:val="BodyText"/>
    <w:qFormat/>
    <w:pPr/>
    <w:rPr/>
  </w:style>
  <w:style w:type="paragraph" w:styleId="Footer">
    <w:name w:val="Footer"/>
    <w:basedOn w:val="Normal"/>
    <w:pPr>
      <w:suppressLineNumbers/>
      <w:tabs>
        <w:tab w:val="clear" w:pos="1134"/>
        <w:tab w:val="center" w:pos="4818" w:leader="none"/>
        <w:tab w:val="right" w:pos="9637" w:leader="none"/>
      </w:tabs>
    </w:pPr>
    <w:rPr/>
  </w:style>
  <w:style w:type="paragraph" w:styleId="Header">
    <w:name w:val="Header"/>
    <w:basedOn w:val="Normal"/>
    <w:pPr>
      <w:suppressLineNumbers/>
      <w:tabs>
        <w:tab w:val="clear" w:pos="1134"/>
        <w:tab w:val="center" w:pos="4818" w:leader="none"/>
        <w:tab w:val="right" w:pos="9637" w:leader="none"/>
      </w:tabs>
    </w:pPr>
    <w:rPr/>
  </w:style>
  <w:style w:type="paragraph" w:styleId="HeaderandFooter">
    <w:name w:val="Header and Footer"/>
    <w:basedOn w:val="Normal"/>
    <w:qFormat/>
    <w:pPr>
      <w:suppressLineNumbers/>
      <w:tabs>
        <w:tab w:val="clear" w:pos="1134"/>
        <w:tab w:val="center" w:pos="4819" w:leader="none"/>
        <w:tab w:val="right" w:pos="9638" w:leader="none"/>
      </w:tabs>
    </w:pPr>
    <w:rPr/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List">
    <w:name w:val="List"/>
    <w:basedOn w:val="BodyText"/>
    <w:pPr/>
    <w:rPr>
      <w:rFonts w:cs="Noto Sans Devanagari"/>
    </w:rPr>
  </w:style>
  <w:style w:type="paragraph" w:styleId="BodyText">
    <w:name w:val="Body Text"/>
    <w:basedOn w:val="Normal"/>
    <w:pPr>
      <w:spacing w:before="0" w:after="283"/>
    </w:pPr>
    <w:rPr/>
  </w:style>
  <w:style w:type="paragraph" w:styleId="Heading">
    <w:name w:val="Heading"/>
    <w:basedOn w:val="Normal"/>
    <w:next w:val="BodyText"/>
    <w:qFormat/>
    <w:pPr>
      <w:keepNext w:val="true"/>
      <w:spacing w:before="240" w:after="283"/>
    </w:pPr>
    <w:rPr>
      <w:rFonts w:ascii="Liberation Sans" w:hAnsi="Liberation Sans"/>
      <w:sz w:val="28"/>
      <w:szCs w:val="28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freechina.live/research-archive/people-organizations/yu-yingshi/" TargetMode="External"/><Relationship Id="rId3" Type="http://schemas.openxmlformats.org/officeDocument/2006/relationships/hyperlink" Target="https://freechina.live/es/research-archive/people-organizations/yu-yingshi/" TargetMode="Externa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LibreOffice/24.2.7.2$Linux_X86_64 LibreOffice_project/420$Build-2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>Yu Yingshi — Perfil mediático y archivo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