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包遵信</w:t>
      </w:r>
    </w:p>
    <w:p>
      <w:pPr>
        <w:pStyle w:val="Heading1"/>
        <w:bidi w:val="0"/>
        <w:jc w:val="left"/>
        <w:rPr/>
      </w:pPr>
      <w:r>
        <w:rPr/>
        <w:t>包遵信</w:t>
      </w:r>
    </w:p>
    <w:p>
      <w:pPr>
        <w:pStyle w:val="BodyText"/>
        <w:bidi w:val="0"/>
        <w:jc w:val="left"/>
        <w:rPr/>
      </w:pPr>
      <w:r>
        <w:rPr>
          <w:rStyle w:val="Strong"/>
        </w:rPr>
        <w:t>包遵信</w:t>
      </w:r>
      <w:r>
        <w:rPr/>
        <w:t>是中国知识分子、编辑、历史异见人士，也曾是与</w:t>
      </w:r>
      <w:r>
        <w:rPr/>
        <w:t>1989</w:t>
      </w:r>
      <w:r>
        <w:rPr/>
        <w:t>年民主运动相关的政治犯。</w:t>
      </w:r>
    </w:p>
    <w:p>
      <w:pPr>
        <w:pStyle w:val="Heading2"/>
        <w:bidi w:val="0"/>
        <w:jc w:val="left"/>
        <w:rPr/>
      </w:pPr>
      <w:r>
        <w:rPr/>
        <w:t>公共角色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研究记录了包遵信作为与</w:t>
      </w:r>
      <w:r>
        <w:rPr/>
        <w:t>1989</w:t>
      </w:r>
      <w:r>
        <w:rPr/>
        <w:t>年运动相关的知识分子和编辑的角色。他后来被判处五年徒刑，并于</w:t>
      </w:r>
      <w:r>
        <w:rPr/>
        <w:t>1992</w:t>
      </w:r>
      <w:r>
        <w:rPr/>
        <w:t>年</w:t>
      </w:r>
      <w:r>
        <w:rPr/>
        <w:t>11</w:t>
      </w:r>
      <w:r>
        <w:rPr/>
        <w:t>月提前获释。</w:t>
      </w:r>
    </w:p>
    <w:p>
      <w:pPr>
        <w:pStyle w:val="Heading2"/>
        <w:bidi w:val="0"/>
        <w:jc w:val="left"/>
        <w:rPr/>
      </w:pPr>
      <w:r>
        <w:rPr/>
        <w:t>羁押年表</w:t>
      </w:r>
    </w:p>
    <w:p>
      <w:pPr>
        <w:pStyle w:val="BodyText"/>
        <w:bidi w:val="0"/>
        <w:jc w:val="left"/>
        <w:rPr/>
      </w:pPr>
      <w:r>
        <w:rPr/>
        <w:t>现有可控证据支持其于</w:t>
      </w:r>
      <w:r>
        <w:rPr/>
        <w:t>1992</w:t>
      </w:r>
      <w:r>
        <w:rPr/>
        <w:t>年</w:t>
      </w:r>
      <w:r>
        <w:rPr/>
        <w:t>11</w:t>
      </w:r>
      <w:r>
        <w:rPr/>
        <w:t>月提前获释，但不支持推断更精确的日期。因此，本简介保留月一级的年表。</w:t>
      </w:r>
    </w:p>
    <w:p>
      <w:pPr>
        <w:pStyle w:val="Heading2"/>
        <w:bidi w:val="0"/>
        <w:jc w:val="left"/>
        <w:rPr/>
      </w:pPr>
      <w:r>
        <w:rPr/>
        <w:t>研究状态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媒体基线已经完成。确切的去世细节和原始法律记录仍有待档案充实。</w:t>
      </w:r>
    </w:p>
    <w:p>
      <w:pPr>
        <w:pStyle w:val="BodyText"/>
        <w:bidi w:val="0"/>
        <w:jc w:val="left"/>
        <w:rPr/>
      </w:pPr>
      <w:r>
        <w:rPr>
          <w:rStyle w:val="Strong"/>
        </w:rPr>
        <w:t>来源控制：</w:t>
      </w:r>
      <w:r>
        <w:rPr/>
        <w:t>本简介避免推断日期，并将历史法律主张限定在已核实的证据范围之内。</w:t>
      </w:r>
    </w:p>
    <w:p>
      <w:pPr>
        <w:pStyle w:val="Heading2"/>
        <w:bidi w:val="0"/>
        <w:jc w:val="left"/>
        <w:rPr/>
      </w:pPr>
      <w:r>
        <w:rPr/>
        <w:t>相关页面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媒体简介与档案：包遵信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媒体简介与档案：包遵信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-media-profile-archive/" TargetMode="External"/><Relationship Id="rId3" Type="http://schemas.openxmlformats.org/officeDocument/2006/relationships/hyperlink" Target="https://freechina.live/zh/research-archive/people-organizations/bao-zunxin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包遵信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