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包遵信</w:t>
      </w:r>
    </w:p>
    <w:p>
      <w:pPr>
        <w:pStyle w:val="Heading1"/>
        <w:bidi w:val="0"/>
        <w:jc w:val="left"/>
        <w:rPr/>
      </w:pPr>
      <w:r>
        <w:rPr/>
        <w:t>包遵信</w:t>
      </w:r>
    </w:p>
    <w:p>
      <w:pPr>
        <w:pStyle w:val="BodyText"/>
        <w:bidi w:val="0"/>
        <w:jc w:val="left"/>
        <w:rPr/>
      </w:pPr>
      <w:r>
        <w:rPr>
          <w:rStyle w:val="Strong"/>
        </w:rPr>
        <w:t>包遵信</w:t>
      </w:r>
      <w:r>
        <w:rPr/>
        <w:t>是中國知識分子、編輯、歷史異見人士，也曾是與</w:t>
      </w:r>
      <w:r>
        <w:rPr/>
        <w:t>1989</w:t>
      </w:r>
      <w:r>
        <w:rPr/>
        <w:t>年民主運動相關的政治犯。</w:t>
      </w:r>
    </w:p>
    <w:p>
      <w:pPr>
        <w:pStyle w:val="Heading2"/>
        <w:bidi w:val="0"/>
        <w:jc w:val="left"/>
        <w:rPr/>
      </w:pPr>
      <w:r>
        <w:rPr/>
        <w:t>公共角色</w:t>
      </w:r>
    </w:p>
    <w:p>
      <w:pPr>
        <w:pStyle w:val="BodyText"/>
        <w:bidi w:val="0"/>
        <w:jc w:val="left"/>
        <w:rPr/>
      </w:pPr>
      <w:r>
        <w:rPr/>
        <w:t>P1</w:t>
      </w:r>
      <w:r>
        <w:rPr/>
        <w:t>研究記錄了包遵信作為與</w:t>
      </w:r>
      <w:r>
        <w:rPr/>
        <w:t>1989</w:t>
      </w:r>
      <w:r>
        <w:rPr/>
        <w:t>年運動相關的知識分子和編輯的角色。他後來被判處五年徒刑，並於</w:t>
      </w:r>
      <w:r>
        <w:rPr/>
        <w:t>1992</w:t>
      </w:r>
      <w:r>
        <w:rPr/>
        <w:t>年</w:t>
      </w:r>
      <w:r>
        <w:rPr/>
        <w:t>11</w:t>
      </w:r>
      <w:r>
        <w:rPr/>
        <w:t>月提前獲釋。</w:t>
      </w:r>
    </w:p>
    <w:p>
      <w:pPr>
        <w:pStyle w:val="Heading2"/>
        <w:bidi w:val="0"/>
        <w:jc w:val="left"/>
        <w:rPr/>
      </w:pPr>
      <w:r>
        <w:rPr/>
        <w:t>羈押年表</w:t>
      </w:r>
    </w:p>
    <w:p>
      <w:pPr>
        <w:pStyle w:val="BodyText"/>
        <w:bidi w:val="0"/>
        <w:jc w:val="left"/>
        <w:rPr/>
      </w:pPr>
      <w:r>
        <w:rPr/>
        <w:t>現有可控證據支持其於</w:t>
      </w:r>
      <w:r>
        <w:rPr/>
        <w:t>1992</w:t>
      </w:r>
      <w:r>
        <w:rPr/>
        <w:t>年</w:t>
      </w:r>
      <w:r>
        <w:rPr/>
        <w:t>11</w:t>
      </w:r>
      <w:r>
        <w:rPr/>
        <w:t>月提前獲釋，但不支持推斷更精確的日期。因此，本簡介保留月一級的年表。</w:t>
      </w:r>
    </w:p>
    <w:p>
      <w:pPr>
        <w:pStyle w:val="Heading2"/>
        <w:bidi w:val="0"/>
        <w:jc w:val="left"/>
        <w:rPr/>
      </w:pPr>
      <w:r>
        <w:rPr/>
        <w:t>研究狀態</w:t>
      </w:r>
    </w:p>
    <w:p>
      <w:pPr>
        <w:pStyle w:val="BodyText"/>
        <w:bidi w:val="0"/>
        <w:jc w:val="left"/>
        <w:rPr/>
      </w:pPr>
      <w:r>
        <w:rPr/>
        <w:t>P1</w:t>
      </w:r>
      <w:r>
        <w:rPr/>
        <w:t>媒體基線已經完成。確切的去世細節和原始法律記錄仍有待檔案充實。</w:t>
      </w:r>
    </w:p>
    <w:p>
      <w:pPr>
        <w:pStyle w:val="BodyText"/>
        <w:bidi w:val="0"/>
        <w:jc w:val="left"/>
        <w:rPr/>
      </w:pPr>
      <w:r>
        <w:rPr>
          <w:rStyle w:val="Strong"/>
        </w:rPr>
        <w:t>來源控制：</w:t>
      </w:r>
      <w:r>
        <w:rPr/>
        <w:t>本簡介避免推斷日期，並將歷史法律主張限定在已核實的證據範圍之內。</w:t>
      </w:r>
    </w:p>
    <w:p>
      <w:pPr>
        <w:pStyle w:val="Heading2"/>
        <w:bidi w:val="0"/>
        <w:jc w:val="left"/>
        <w:rPr/>
      </w:pPr>
      <w:r>
        <w:rPr/>
        <w:t>相關頁面</w:t>
      </w:r>
    </w:p>
    <w:p>
      <w:pPr>
        <w:pStyle w:val="BodyText"/>
        <w:bidi w:val="0"/>
        <w:jc w:val="left"/>
        <w:rPr/>
      </w:pPr>
      <w:hyperlink r:id="rId2">
        <w:r>
          <w:rPr>
            <w:rStyle w:val="Hyperlink"/>
          </w:rPr>
          <w:t>媒體簡介與檔案：包遵信</w:t>
        </w:r>
      </w:hyperlink>
    </w:p>
    <w:p>
      <w:pPr>
        <w:pStyle w:val="BodyText"/>
        <w:bidi w:val="0"/>
        <w:spacing w:before="0" w:after="283"/>
        <w:jc w:val="left"/>
        <w:rPr/>
      </w:pPr>
      <w:hyperlink r:id="rId3">
        <w:r>
          <w:rPr>
            <w:rStyle w:val="Hyperlink"/>
          </w:rPr>
          <w:t>媒體簡介與檔案：包遵信</w:t>
        </w:r>
      </w:hyperlink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oto Serif CJK SC" w:cs="Noto Sans Devanagari"/>
      <w:b/>
      <w:bCs/>
      <w:sz w:val="36"/>
      <w:szCs w:val="36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freechina.live/research-archive/people-organizations/bao-zunxin-media-profile-archive/" TargetMode="External"/><Relationship Id="rId3" Type="http://schemas.openxmlformats.org/officeDocument/2006/relationships/hyperlink" Target="https://freechina.live/zh-hant/research-archive/people-organizations/bao-zunxin-media-profile-archive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包遵信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