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83"/>
        <w:jc w:val="left"/>
        <w:rPr/>
      </w:pPr>
      <w:r>
        <w:rPr/>
        <w:t>Lin Qilei (</w:t>
      </w:r>
      <w:r>
        <w:rPr/>
        <w:t>蔺其磊</w:t>
      </w:r>
      <w:r>
        <w:rPr/>
        <w:t>) — Abogado de derechos humanos</w:t>
      </w:r>
    </w:p>
    <w:p>
      <w:pPr>
        <w:pStyle w:val="Heading1"/>
        <w:bidi w:val="0"/>
        <w:jc w:val="left"/>
        <w:rPr/>
      </w:pPr>
      <w:r>
        <w:rPr/>
        <w:t>Lin Qilei (</w:t>
      </w:r>
      <w:r>
        <w:rPr/>
        <w:t>蔺其磊</w:t>
      </w:r>
      <w:r>
        <w:rPr/>
        <w:t>) — Abogado de derechos humanos</w:t>
      </w:r>
    </w:p>
    <w:p>
      <w:pPr>
        <w:pStyle w:val="BodyText"/>
        <w:bidi w:val="0"/>
        <w:jc w:val="left"/>
        <w:rPr/>
      </w:pPr>
      <w:r>
        <w:rPr>
          <w:rStyle w:val="Strong"/>
        </w:rPr>
        <w:t>Estado de la investigación:</w:t>
      </w:r>
      <w:r>
        <w:rPr/>
        <w:t xml:space="preserve"> se ha establecido una base verificada; el año de nacimiento, el historial del bufete anterior a Ruikai y la actividad posterior a 2021 siguen sin resolverse.</w:t>
      </w:r>
    </w:p>
    <w:p>
      <w:pPr>
        <w:pStyle w:val="BodyText"/>
        <w:bidi w:val="0"/>
        <w:jc w:val="left"/>
        <w:rPr/>
      </w:pPr>
      <w:r>
        <w:rPr>
          <w:rStyle w:val="Strong"/>
        </w:rPr>
        <w:t>Lin Qilei (</w:t>
      </w:r>
      <w:r>
        <w:rPr>
          <w:rStyle w:val="Strong"/>
        </w:rPr>
        <w:t>蔺其磊</w:t>
      </w:r>
      <w:r>
        <w:rPr>
          <w:rStyle w:val="Strong"/>
        </w:rPr>
        <w:t>)</w:t>
      </w:r>
      <w:r>
        <w:rPr/>
        <w:t xml:space="preserve"> es un abogado de defensa de derechos de Beijing. Fundó el bufete de abogados Beijing Ruikai (</w:t>
      </w:r>
      <w:r>
        <w:rPr/>
        <w:t>北京瑞凯律师事务所</w:t>
      </w:r>
      <w:r>
        <w:rPr/>
        <w:t>) en septiembre de 2009, según su propio relato publicado.</w:t>
      </w:r>
    </w:p>
    <w:p>
      <w:pPr>
        <w:pStyle w:val="Heading2"/>
        <w:bidi w:val="0"/>
        <w:jc w:val="left"/>
        <w:rPr/>
      </w:pPr>
      <w:r>
        <w:rPr/>
        <w:t>Labor de defensa de derechos</w:t>
      </w:r>
    </w:p>
    <w:p>
      <w:pPr>
        <w:pStyle w:val="BodyText"/>
        <w:bidi w:val="0"/>
        <w:jc w:val="left"/>
        <w:rPr/>
      </w:pPr>
      <w:r>
        <w:rPr/>
        <w:t>El trabajo de casos documentado incluye a Li Yuhan (</w:t>
      </w:r>
      <w:r>
        <w:rPr/>
        <w:t>李昱函</w:t>
      </w:r>
      <w:r>
        <w:rPr/>
        <w:t>); a uno de los detenidos de los «12 de Hong Kong» (el cliente concreto no se identifica en las fuentes verificadas); Guo Feixiong; Qin Yongmin; clientes tibetanos; Hao Jinsong; y una reunión en 2017 en el centro de detención con Li Xiaoling.</w:t>
      </w:r>
    </w:p>
    <w:p>
      <w:pPr>
        <w:pStyle w:val="Heading2"/>
        <w:bidi w:val="0"/>
        <w:jc w:val="left"/>
        <w:rPr/>
      </w:pPr>
      <w:r>
        <w:rPr/>
        <w:t>Persecución y restricciones profesionales</w:t>
      </w:r>
    </w:p>
    <w:p>
      <w:pPr>
        <w:pStyle w:val="BodyText"/>
        <w:bidi w:val="0"/>
        <w:jc w:val="left"/>
        <w:rPr/>
      </w:pPr>
      <w:r>
        <w:rPr/>
        <w:t>CHRD informó de que en mayo de 2013 Lin fue detenido durante unas 24 horas junto con otros abogados mientras investigaba un caso de cárcel negra en Ziyang, Sichuan, y fue golpeado. El expediente actual no establece ninguna detención penal formal más allá de ese episodio.</w:t>
      </w:r>
    </w:p>
    <w:p>
      <w:pPr>
        <w:pStyle w:val="BodyText"/>
        <w:bidi w:val="0"/>
        <w:jc w:val="left"/>
        <w:rPr/>
      </w:pPr>
      <w:r>
        <w:rPr/>
        <w:t>Front Line Defenders informó de que el 10 de noviembre de 2015 se impidió a Lin salir de China en el aeropuerto de Beijing-Capital después de que funcionarios de inmigración dijeran que la Seguridad Pública de Beijing había prohibido su viaje porque «podría dañar la seguridad nacional»; no se le entregó ninguna documentación escrita.</w:t>
      </w:r>
    </w:p>
    <w:p>
      <w:pPr>
        <w:pStyle w:val="BodyText"/>
        <w:bidi w:val="0"/>
        <w:jc w:val="left"/>
        <w:rPr/>
      </w:pPr>
      <w:r>
        <w:rPr/>
        <w:t>El propio relato de Lin afirma que las autoridades de Beijing rechazaron en 2018 los materiales de revisión anual del bufete Ruikai, investigaron el bufete durante dos años y lo clausuraron el 4 de enero de 2021. Informó de que los tribunales se negaron a admitir sus recursos y de que un bufete de Beijing aceptó más tarde acogerlo, pero la Oficina de Justicia del distrito de Chaoyang no completó el traslado. Estos pasos administrativos se presentan como el relato de Lin y no están verificados de forma independiente en su totalidad.</w:t>
      </w:r>
    </w:p>
    <w:p>
      <w:pPr>
        <w:pStyle w:val="Heading2"/>
        <w:bidi w:val="0"/>
        <w:jc w:val="left"/>
        <w:rPr/>
      </w:pPr>
      <w:r>
        <w:rPr/>
        <w:t>Revocación de la licencia</w:t>
      </w:r>
    </w:p>
    <w:p>
      <w:pPr>
        <w:pStyle w:val="BodyText"/>
        <w:bidi w:val="0"/>
        <w:jc w:val="left"/>
        <w:rPr/>
      </w:pPr>
      <w:r>
        <w:rPr/>
        <w:t>Lin declaró que la decisión de la Oficina de Justicia de Beijing que revocaba su licencia de abogado estaba fechada el 30 de octubre de 2021; CHRD registró que fue informado el 31 de octubre. La diferencia de un día se trata como diferencia entre la fecha de la decisión y la fecha de notificación, no como una contradicción.</w:t>
      </w:r>
    </w:p>
    <w:p>
      <w:pPr>
        <w:pStyle w:val="BodyText"/>
        <w:bidi w:val="0"/>
        <w:jc w:val="left"/>
        <w:rPr/>
      </w:pPr>
      <w:r>
        <w:rPr/>
        <w:t>El motivo declarado por la oficina, según lo transmitió el Consejo de los Colegios de Abogados de Europa (Council of Bars and Law Societies of Europe), fue que Ruikai había sido dado de baja y que Lin no se había unido a otro bufete. El propio relato de Lin describe sus esfuerzos por trasladarse a otro bufete y cuestiona el procedimiento administrativo. La explicación de la oficina se recoge, por tanto, como afirmación de la oficina, no como un hecho establecido de forma independiente.</w:t>
      </w:r>
    </w:p>
    <w:p>
      <w:pPr>
        <w:pStyle w:val="Heading2"/>
        <w:bidi w:val="0"/>
        <w:jc w:val="left"/>
        <w:rPr/>
      </w:pPr>
      <w:r>
        <w:rPr/>
        <w:t>Situación actual</w:t>
      </w:r>
    </w:p>
    <w:p>
      <w:pPr>
        <w:pStyle w:val="BodyText"/>
        <w:bidi w:val="0"/>
        <w:jc w:val="left"/>
        <w:rPr/>
      </w:pPr>
      <w:r>
        <w:rPr>
          <w:rStyle w:val="Strong"/>
        </w:rPr>
        <w:t>Situación:</w:t>
      </w:r>
      <w:r>
        <w:rPr/>
        <w:t xml:space="preserve"> actualmente no se conoce que esté detenido. En el expediente de investigación actual no se encontró ninguna actividad, paradero o evolución del estatus profesional verificados después de noviembre de 2021. La inhabilitación no establece detención, exilio ni activismo continuado.</w:t>
      </w:r>
    </w:p>
    <w:p>
      <w:pPr>
        <w:pStyle w:val="BodyText"/>
        <w:bidi w:val="0"/>
        <w:jc w:val="left"/>
        <w:rPr/>
      </w:pPr>
      <w:r>
        <w:rPr>
          <w:rStyle w:val="Strong"/>
        </w:rPr>
        <w:t>Nota de identidad:</w:t>
      </w:r>
      <w:r>
        <w:rPr/>
        <w:t xml:space="preserve"> Lin Qilei (</w:t>
      </w:r>
      <w:r>
        <w:rPr/>
        <w:t>蔺其磊</w:t>
      </w:r>
      <w:r>
        <w:rPr/>
        <w:t xml:space="preserve">; forma tradicional </w:t>
      </w:r>
      <w:r>
        <w:rPr/>
        <w:t>藺其磊</w:t>
      </w:r>
      <w:r>
        <w:rPr/>
        <w:t>) es distinto de Liang Xiaojun (</w:t>
      </w:r>
      <w:r>
        <w:rPr/>
        <w:t>梁小军</w:t>
      </w:r>
      <w:r>
        <w:rPr/>
        <w:t>), Lu Siwei (</w:t>
      </w:r>
      <w:r>
        <w:rPr/>
        <w:t>卢思位</w:t>
      </w:r>
      <w:r>
        <w:rPr/>
        <w:t>) y Ren Quanniu (</w:t>
      </w:r>
      <w:r>
        <w:rPr/>
        <w:t>任全牛</w:t>
      </w:r>
      <w:r>
        <w:rPr/>
        <w:t>), que estuvieron implicados por separado en la oleada de inhabilitaciones de 2021 relacionada con los 12 de Hong Kong.</w:t>
      </w:r>
    </w:p>
    <w:p>
      <w:pPr>
        <w:pStyle w:val="BodyText"/>
        <w:bidi w:val="0"/>
        <w:jc w:val="left"/>
        <w:rPr/>
      </w:pPr>
      <w:r>
        <w:rPr>
          <w:rStyle w:val="Strong"/>
        </w:rPr>
        <w:t>Regla probatoria:</w:t>
      </w:r>
      <w:r>
        <w:rPr/>
        <w:t xml:space="preserve"> FreeChina.live no infiere la custodia actual, las fechas de puesta en libertad ni el fin de las restricciones posteriores a la puesta en libertad a partir de cálculos de penas. Cuando la situación actual sigue siendo incierta, el expediente permanece abierto para la recuperación de fuentes.</w:t>
      </w:r>
    </w:p>
    <w:p>
      <w:pPr>
        <w:pStyle w:val="BodyText"/>
        <w:bidi w:val="0"/>
        <w:jc w:val="left"/>
        <w:rPr/>
      </w:pPr>
      <w:r>
        <w:rPr>
          <w:rStyle w:val="Strong"/>
        </w:rPr>
        <w:t>Relacionados:</w:t>
      </w:r>
      <w:r>
        <w:rPr/>
        <w:t xml:space="preserve"> </w:t>
      </w:r>
      <w:hyperlink r:id="rId2">
        <w:r>
          <w:rPr>
            <w:rStyle w:val="Hyperlink"/>
          </w:rPr>
          <w:t>Abogados de defensa de derechos y defensores jurídicos en China</w:t>
        </w:r>
      </w:hyperlink>
      <w:r>
        <w:rPr/>
        <w:t xml:space="preserve"> · </w:t>
      </w:r>
      <w:hyperlink r:id="rId3">
        <w:r>
          <w:rPr>
            <w:rStyle w:val="Hyperlink"/>
          </w:rPr>
          <w:t>Archivo de la represión del 709</w:t>
        </w:r>
      </w:hyperlink>
    </w:p>
    <w:p>
      <w:pPr>
        <w:pStyle w:val="Heading2"/>
        <w:bidi w:val="0"/>
        <w:jc w:val="left"/>
        <w:rPr/>
      </w:pPr>
      <w:r>
        <w:rPr/>
        <w:t>Archivo de medios y fuentes</w:t>
      </w:r>
    </w:p>
    <w:p>
      <w:pPr>
        <w:pStyle w:val="BodyText"/>
        <w:bidi w:val="0"/>
        <w:jc w:val="left"/>
        <w:rPr/>
      </w:pPr>
      <w:hyperlink r:id="rId4">
        <w:r>
          <w:rPr>
            <w:rStyle w:val="Hyperlink"/>
          </w:rPr>
          <w:t xml:space="preserve">Lin Qilei </w:t>
        </w:r>
        <w:r>
          <w:rPr>
            <w:rStyle w:val="Hyperlink"/>
          </w:rPr>
          <w:t xml:space="preserve">蔺其磊 — </w:t>
        </w:r>
        <w:r>
          <w:rPr>
            <w:rStyle w:val="Hyperlink"/>
          </w:rPr>
          <w:t>Perfil mediático y archivo</w:t>
        </w:r>
      </w:hyperlink>
    </w:p>
    <w:p>
      <w:pPr>
        <w:pStyle w:val="BodyText"/>
        <w:bidi w:val="0"/>
        <w:spacing w:before="0" w:after="283"/>
        <w:jc w:val="left"/>
        <w:rPr/>
      </w:pPr>
      <w:hyperlink r:id="rId5">
        <w:r>
          <w:rPr>
            <w:rStyle w:val="Hyperlink"/>
          </w:rPr>
          <w:t xml:space="preserve">Lin Qilei </w:t>
        </w:r>
        <w:r>
          <w:rPr>
            <w:rStyle w:val="Hyperlink"/>
          </w:rPr>
          <w:t xml:space="preserve">蔺其磊 — </w:t>
        </w:r>
        <w:r>
          <w:rPr>
            <w:rStyle w:val="Hyperlink"/>
          </w:rPr>
          <w:t>Perfil mediático y archivo</w:t>
        </w:r>
      </w:hyperlink>
    </w:p>
    <w:sectPr>
      <w:type w:val="nextPage"/>
      <w:pgSz w:w="11906" w:h="16838"/>
      <w:pgMar w:left="1134" w:right="567" w:gutter="0" w:header="0" w:top="567" w:footer="0" w:bottom="56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Noto Sans">
    <w:charset w:val="01"/>
    <w:family w:val="auto"/>
    <w:pitch w:val="variable"/>
  </w:font>
  <w:font w:name="Liberation Sans">
    <w:altName w:val="Arial"/>
    <w:charset w:val="01"/>
    <w:family w:val="swiss"/>
    <w:pitch w:val="variable"/>
  </w:font>
</w:fonts>
</file>

<file path=word/settings.xml><?xml version="1.0" encoding="utf-8"?>
<w:settings xmlns:w="http://schemas.openxmlformats.org/wordprocessingml/2006/main">
  <w:view w:val="web"/>
  <w:zoom w:percent="100"/>
  <w:defaultTabStop w:val="1134"/>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Devanagari"/>
      <w:color w:val="auto"/>
      <w:sz w:val="24"/>
      <w:szCs w:val="24"/>
      <w:lang w:val="en-US" w:eastAsia="zh-CN" w:bidi="hi-IN"/>
    </w:rPr>
  </w:style>
  <w:style w:type="paragraph" w:styleId="Heading1">
    <w:name w:val="Heading 1"/>
    <w:basedOn w:val="Heading"/>
    <w:next w:val="BodyText"/>
    <w:qFormat/>
    <w:pPr/>
    <w:rPr>
      <w:rFonts w:ascii="Noto Sans" w:hAnsi="Noto Sans"/>
      <w:b/>
      <w:bCs/>
      <w:sz w:val="48"/>
      <w:szCs w:val="44"/>
    </w:rPr>
  </w:style>
  <w:style w:type="paragraph" w:styleId="Heading2">
    <w:name w:val="Heading 2"/>
    <w:basedOn w:val="Heading"/>
    <w:next w:val="BodyText"/>
    <w:qFormat/>
    <w:pPr>
      <w:spacing w:before="200" w:after="120"/>
      <w:outlineLvl w:val="1"/>
    </w:pPr>
    <w:rPr>
      <w:rFonts w:ascii="Liberation Serif" w:hAnsi="Liberation Serif" w:eastAsia="Noto Serif CJK SC" w:cs="Noto Sans Devanagari"/>
      <w:b/>
      <w:bCs/>
      <w:sz w:val="36"/>
      <w:szCs w:val="36"/>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Strong">
    <w:name w:val="Strong"/>
    <w:qFormat/>
    <w:rPr>
      <w:b/>
      <w:bCs/>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Footer">
    <w:name w:val="Footer"/>
    <w:basedOn w:val="Normal"/>
    <w:pPr>
      <w:suppressLineNumbers/>
      <w:tabs>
        <w:tab w:val="clear" w:pos="1134"/>
        <w:tab w:val="center" w:pos="4818" w:leader="none"/>
        <w:tab w:val="right" w:pos="9637" w:leader="none"/>
      </w:tabs>
    </w:pPr>
    <w:rPr/>
  </w:style>
  <w:style w:type="paragraph" w:styleId="Header">
    <w:name w:val="Header"/>
    <w:basedOn w:val="Normal"/>
    <w:pPr>
      <w:suppressLineNumbers/>
      <w:tabs>
        <w:tab w:val="clear" w:pos="1134"/>
        <w:tab w:val="center" w:pos="4818" w:leader="none"/>
        <w:tab w:val="right" w:pos="9637" w:leader="none"/>
      </w:tabs>
    </w:pPr>
    <w:rPr/>
  </w:style>
  <w:style w:type="paragraph" w:styleId="HeaderandFooter">
    <w:name w:val="Header and Footer"/>
    <w:basedOn w:val="Normal"/>
    <w:qFormat/>
    <w:pPr>
      <w:suppressLineNumbers/>
      <w:tabs>
        <w:tab w:val="clear" w:pos="1134"/>
        <w:tab w:val="center" w:pos="4819" w:leader="none"/>
        <w:tab w:val="right" w:pos="9638" w:leader="none"/>
      </w:tabs>
    </w:pPr>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283"/>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reechina.live/political-prisoners/rights-defense-lawyers/" TargetMode="External"/><Relationship Id="rId3" Type="http://schemas.openxmlformats.org/officeDocument/2006/relationships/hyperlink" Target="https://freechina.live/political-prisoners/rights-defense-lawyers/709-crackdown/" TargetMode="External"/><Relationship Id="rId4" Type="http://schemas.openxmlformats.org/officeDocument/2006/relationships/hyperlink" Target="https://freechina.live/research-archive/people-organizations/lin-qilei-media-profile-archive/" TargetMode="External"/><Relationship Id="rId5" Type="http://schemas.openxmlformats.org/officeDocument/2006/relationships/hyperlink" Target="https://freechina.live/es/research-archive/people-organizations/lin-qilei-media-profile-archive/" TargetMode="Externa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Lin Qilei (蔺其磊) — Abogado de derechos humanos</dc:title>
</cp:coreProperties>
</file>

<file path=docProps/custom.xml><?xml version="1.0" encoding="utf-8"?>
<Properties xmlns="http://schemas.openxmlformats.org/officeDocument/2006/custom-properties" xmlns:vt="http://schemas.openxmlformats.org/officeDocument/2006/docPropsVTypes"/>
</file>