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283"/>
        <w:jc w:val="left"/>
        <w:rPr/>
      </w:pPr>
      <w:r>
        <w:rPr/>
        <w:t>楊漫克——媒體簡介與檔案</w:t>
      </w:r>
    </w:p>
    <w:p>
      <w:pPr>
        <w:pStyle w:val="Heading1"/>
        <w:bidi w:val="0"/>
        <w:jc w:val="left"/>
        <w:rPr/>
      </w:pPr>
      <w:r>
        <w:rPr/>
        <w:t>楊漫克——媒體簡介與檔案</w:t>
      </w:r>
    </w:p>
    <w:p>
      <w:pPr>
        <w:pStyle w:val="BodyText"/>
        <w:bidi w:val="0"/>
        <w:jc w:val="left"/>
        <w:rPr/>
      </w:pPr>
      <w:r>
        <w:rPr>
          <w:rStyle w:val="Strong"/>
        </w:rPr>
        <w:t>標準簡介：</w:t>
      </w:r>
      <w:r>
        <w:rPr/>
        <w:t xml:space="preserve"> </w:t>
      </w:r>
      <w:hyperlink r:id="rId2">
        <w:r>
          <w:rPr>
            <w:rStyle w:val="Hyperlink"/>
          </w:rPr>
          <w:t>Yang Manke</w:t>
        </w:r>
        <w:r>
          <w:rPr>
            <w:rStyle w:val="Hyperlink"/>
          </w:rPr>
          <w:t>（楊漫克）</w:t>
        </w:r>
      </w:hyperlink>
    </w:p>
    <w:p>
      <w:pPr>
        <w:pStyle w:val="BodyText"/>
        <w:bidi w:val="0"/>
        <w:jc w:val="left"/>
        <w:rPr/>
      </w:pPr>
      <w:r>
        <w:rPr/>
        <w:t>本檔案彙集經核實的出版物和資料，涉及楊漫克的海外民運寫作與報導。</w:t>
      </w:r>
    </w:p>
    <w:p>
      <w:pPr>
        <w:pStyle w:val="Heading2"/>
        <w:bidi w:val="0"/>
        <w:jc w:val="left"/>
        <w:rPr/>
      </w:pPr>
      <w:r>
        <w:rPr/>
        <w:t>來源基線</w:t>
      </w:r>
    </w:p>
    <w:p>
      <w:pPr>
        <w:pStyle w:val="BodyText"/>
        <w:bidi w:val="0"/>
        <w:jc w:val="left"/>
        <w:rPr/>
      </w:pPr>
      <w:r>
        <w:rPr/>
        <w:t xml:space="preserve">受控基線包括《中國之春》第 </w:t>
      </w:r>
      <w:r>
        <w:rPr/>
        <w:t>100</w:t>
      </w:r>
      <w:r>
        <w:rPr/>
        <w:t>、</w:t>
      </w:r>
      <w:r>
        <w:rPr/>
        <w:t>101</w:t>
      </w:r>
      <w:r>
        <w:rPr/>
        <w:t>、</w:t>
      </w:r>
      <w:r>
        <w:rPr/>
        <w:t xml:space="preserve">105 </w:t>
      </w:r>
      <w:r>
        <w:rPr/>
        <w:t xml:space="preserve">和 </w:t>
      </w:r>
      <w:r>
        <w:rPr/>
        <w:t xml:space="preserve">108 </w:t>
      </w:r>
      <w:r>
        <w:rPr/>
        <w:t xml:space="preserve">期原件、運動史資料，以及獨立的英文與德文學術佐證。原件直接佐證了楊在 </w:t>
      </w:r>
      <w:r>
        <w:rPr/>
        <w:t xml:space="preserve">1991–1992 </w:t>
      </w:r>
      <w:r>
        <w:rPr/>
        <w:t>年間的發表作者身份。</w:t>
      </w:r>
    </w:p>
    <w:p>
      <w:pPr>
        <w:pStyle w:val="Heading2"/>
        <w:bidi w:val="0"/>
        <w:jc w:val="left"/>
        <w:rPr/>
      </w:pPr>
      <w:r>
        <w:rPr/>
        <w:t>研究目標</w:t>
      </w:r>
    </w:p>
    <w:p>
      <w:pPr>
        <w:pStyle w:val="BodyText"/>
        <w:bidi w:val="0"/>
        <w:jc w:val="left"/>
        <w:rPr/>
      </w:pPr>
      <w:r>
        <w:rPr/>
        <w:t xml:space="preserve">CAD </w:t>
      </w:r>
      <w:r>
        <w:rPr/>
        <w:t>的成員身份與任職記錄、《中國之春》社論部或工作人員記錄（用以確認任何記者／編輯頭銜）、《東歐創世紀》的書目證據，以及同時期的東歐報導，仍是優先目標。僅憑發表作者身份，不得推斷任何正式職務。</w:t>
      </w:r>
    </w:p>
    <w:p>
      <w:pPr>
        <w:pStyle w:val="BodyText"/>
        <w:bidi w:val="0"/>
        <w:jc w:val="left"/>
        <w:rPr/>
      </w:pPr>
      <w:r>
        <w:rPr/>
        <w:t>檔案最近同步：</w:t>
      </w:r>
      <w:r>
        <w:rPr/>
        <w:t xml:space="preserve">2026 </w:t>
      </w:r>
      <w:r>
        <w:rPr/>
        <w:t xml:space="preserve">年 </w:t>
      </w:r>
      <w:r>
        <w:rPr/>
        <w:t xml:space="preserve">9 </w:t>
      </w:r>
      <w:r>
        <w:rPr/>
        <w:t xml:space="preserve">月 </w:t>
      </w:r>
      <w:r>
        <w:rPr/>
        <w:t xml:space="preserve">20 </w:t>
      </w:r>
      <w:r>
        <w:rPr/>
        <w:t>日。</w:t>
      </w:r>
    </w:p>
    <w:p>
      <w:pPr>
        <w:pStyle w:val="BodyText"/>
        <w:bidi w:val="0"/>
        <w:spacing w:before="0" w:after="283"/>
        <w:jc w:val="left"/>
        <w:rPr/>
      </w:pPr>
      <w:hyperlink r:id="rId3">
        <w:r>
          <w:rPr>
            <w:rStyle w:val="Hyperlink"/>
          </w:rPr>
          <w:t>Yang Manke</w:t>
        </w:r>
        <w:r>
          <w:rPr>
            <w:rStyle w:val="Hyperlink"/>
          </w:rPr>
          <w:t>（楊漫克）</w:t>
        </w:r>
      </w:hyperlink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Noto Sans">
    <w:charset w:val="01"/>
    <w:family w:val="auto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Liberation Serif" w:hAnsi="Liberation Serif" w:eastAsia="Noto Serif CJK SC" w:cs="Noto Sans Devanagari"/>
      <w:color w:val="auto"/>
      <w:sz w:val="24"/>
      <w:szCs w:val="24"/>
      <w:lang w:val="en-US" w:eastAsia="zh-CN" w:bidi="hi-IN"/>
    </w:rPr>
  </w:style>
  <w:style w:type="paragraph" w:styleId="Heading1">
    <w:name w:val="Heading 1"/>
    <w:basedOn w:val="Heading"/>
    <w:next w:val="BodyText"/>
    <w:qFormat/>
    <w:pPr/>
    <w:rPr>
      <w:rFonts w:ascii="Noto Sans" w:hAnsi="Noto Sans"/>
      <w:b/>
      <w:bCs/>
      <w:sz w:val="48"/>
      <w:szCs w:val="44"/>
    </w:rPr>
  </w:style>
  <w:style w:type="paragraph" w:styleId="Heading2">
    <w:name w:val="Heading 2"/>
    <w:basedOn w:val="Heading"/>
    <w:next w:val="BodyText"/>
    <w:qFormat/>
    <w:pPr>
      <w:spacing w:before="200" w:after="120"/>
      <w:outlineLvl w:val="1"/>
    </w:pPr>
    <w:rPr>
      <w:rFonts w:ascii="Liberation Serif" w:hAnsi="Liberation Serif" w:eastAsia="Noto Serif CJK SC" w:cs="Noto Sans Devanagari"/>
      <w:b/>
      <w:bCs/>
      <w:sz w:val="36"/>
      <w:szCs w:val="36"/>
    </w:rPr>
  </w:style>
  <w:style w:type="character" w:styleId="EndnoteCharacters">
    <w:name w:val="Endnote Characters"/>
    <w:qFormat/>
    <w:rPr/>
  </w:style>
  <w:style w:type="character" w:styleId="FootnoteCharacters">
    <w:name w:val="Footnote Characters"/>
    <w:qFormat/>
    <w:rPr/>
  </w:style>
  <w:style w:type="character" w:styleId="Hyperlink">
    <w:name w:val="Hyperlink"/>
    <w:rPr>
      <w:color w:val="000080"/>
      <w:u w:val="single"/>
    </w:rPr>
  </w:style>
  <w:style w:type="character" w:styleId="Strong">
    <w:name w:val="Strong"/>
    <w:qFormat/>
    <w:rPr>
      <w:b/>
      <w:bCs/>
    </w:rPr>
  </w:style>
  <w:style w:type="paragraph" w:styleId="HorizontalLine">
    <w:name w:val="Horizontal Line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TableContents">
    <w:name w:val="Table Contents"/>
    <w:basedOn w:val="BodyText"/>
    <w:qFormat/>
    <w:pPr/>
    <w:rPr/>
  </w:style>
  <w:style w:type="paragraph" w:styleId="Footer">
    <w:name w:val="Footer"/>
    <w:basedOn w:val="Normal"/>
    <w:pPr>
      <w:suppressLineNumbers/>
      <w:tabs>
        <w:tab w:val="clear" w:pos="1134"/>
        <w:tab w:val="center" w:pos="4818" w:leader="none"/>
        <w:tab w:val="right" w:pos="9637" w:leader="none"/>
      </w:tabs>
    </w:pPr>
    <w:rPr/>
  </w:style>
  <w:style w:type="paragraph" w:styleId="Header">
    <w:name w:val="Header"/>
    <w:basedOn w:val="Normal"/>
    <w:pPr>
      <w:suppressLineNumbers/>
      <w:tabs>
        <w:tab w:val="clear" w:pos="1134"/>
        <w:tab w:val="center" w:pos="4818" w:leader="none"/>
        <w:tab w:val="right" w:pos="9637" w:leader="none"/>
      </w:tabs>
    </w:pPr>
    <w:rPr/>
  </w:style>
  <w:style w:type="paragraph" w:styleId="HeaderandFooter">
    <w:name w:val="Header and Footer"/>
    <w:basedOn w:val="Normal"/>
    <w:qFormat/>
    <w:pPr>
      <w:suppressLineNumbers/>
      <w:tabs>
        <w:tab w:val="clear" w:pos="1134"/>
        <w:tab w:val="center" w:pos="4819" w:leader="none"/>
        <w:tab w:val="right" w:pos="9638" w:leader="none"/>
      </w:tabs>
    </w:pPr>
    <w:rPr/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List">
    <w:name w:val="List"/>
    <w:basedOn w:val="BodyText"/>
    <w:pPr/>
    <w:rPr>
      <w:rFonts w:cs="Noto Sans Devanagari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Heading">
    <w:name w:val="Heading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freechina.live/research-archive/people-organizations/yang-manke/" TargetMode="External"/><Relationship Id="rId3" Type="http://schemas.openxmlformats.org/officeDocument/2006/relationships/hyperlink" Target="https://freechina.live/zh-hant/research-archive/people-organizations/yang-manke/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楊漫克——媒體簡介與檔案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