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bidi w:val="0"/>
        <w:spacing w:before="240" w:after="283"/>
        <w:jc w:val="left"/>
        <w:rPr/>
      </w:pPr>
      <w:r>
        <w:rPr/>
        <w:t>曹长青（曹长青） — 媒體檔案</w:t>
      </w:r>
    </w:p>
    <w:p>
      <w:pPr>
        <w:pStyle w:val="BodyText"/>
        <w:bidi w:val="0"/>
        <w:spacing w:lineRule="auto" w:line="273"/>
        <w:ind w:hanging="0" w:left="0" w:right="0"/>
        <w:jc w:val="left"/>
        <w:rPr>
          <w:caps w:val="false"/>
          <w:smallCaps w:val="false"/>
          <w:strike w:val="false"/>
          <w:dstrike w:val="false"/>
          <w:color w:val="000000"/>
          <w:u w:val="none"/>
          <w:effect w:val="none"/>
        </w:rPr>
      </w:pP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</w:rPr>
        <w:t>**</w:t>
      </w:r>
      <w:r>
        <w:rPr>
          <w:rFonts w:eastAsia="Arial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</w:rPr>
        <w:t xml:space="preserve">曹長青 </w:t>
      </w: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</w:rPr>
        <w:t xml:space="preserve">/ </w:t>
      </w:r>
      <w:r>
        <w:rPr>
          <w:rFonts w:eastAsia="Arial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</w:rPr>
        <w:t>曹長青</w:t>
      </w: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</w:rPr>
        <w:t>**</w:t>
      </w:r>
    </w:p>
    <w:p>
      <w:pPr>
        <w:pStyle w:val="BodyText"/>
        <w:bidi w:val="0"/>
        <w:spacing w:lineRule="auto" w:line="273"/>
        <w:ind w:hanging="0" w:left="0" w:right="0"/>
        <w:jc w:val="left"/>
        <w:rPr>
          <w:caps w:val="false"/>
          <w:smallCaps w:val="false"/>
          <w:strike w:val="false"/>
          <w:dstrike w:val="false"/>
          <w:color w:val="000000"/>
          <w:u w:val="none"/>
          <w:effect w:val="none"/>
        </w:rPr>
      </w:pPr>
      <w:r>
        <w:rPr>
          <w:rFonts w:eastAsia="Arial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</w:rPr>
        <w:t>中國持不同政見記者和作家。受控基線記錄其《深圳青年》編輯角色及</w:t>
      </w: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</w:rPr>
        <w:t>1987</w:t>
      </w:r>
      <w:r>
        <w:rPr>
          <w:rFonts w:eastAsia="Arial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</w:rPr>
        <w:t>年壓制、後來列入中華人民共和國再入境黑名單，以及長期美國新聞和評論生涯。確切的</w:t>
      </w: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</w:rPr>
        <w:t>1989</w:t>
      </w:r>
      <w:r>
        <w:rPr>
          <w:rFonts w:eastAsia="Arial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</w:rPr>
        <w:t>年公開信和《新聞自由導報》辦公室細節仍未解決。</w:t>
      </w:r>
    </w:p>
    <w:p>
      <w:pPr>
        <w:pStyle w:val="BodyText"/>
        <w:bidi w:val="0"/>
        <w:spacing w:lineRule="auto" w:line="273"/>
        <w:ind w:hanging="0" w:left="0" w:right="0"/>
        <w:jc w:val="left"/>
        <w:rPr>
          <w:caps w:val="false"/>
          <w:smallCaps w:val="false"/>
          <w:strike w:val="false"/>
          <w:dstrike w:val="false"/>
          <w:color w:val="000000"/>
          <w:u w:val="none"/>
          <w:effect w:val="none"/>
        </w:rPr>
      </w:pP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</w:rPr>
        <w:t>**</w:t>
      </w:r>
      <w:r>
        <w:rPr>
          <w:rFonts w:eastAsia="Arial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</w:rPr>
        <w:t>規範人物檔案：</w:t>
      </w: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</w:rPr>
        <w:t>** [</w:t>
      </w:r>
      <w:r>
        <w:rPr>
          <w:rFonts w:eastAsia="Arial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</w:rPr>
        <w:t xml:space="preserve">曹長青 </w:t>
      </w: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</w:rPr>
        <w:t xml:space="preserve">/ </w:t>
      </w:r>
      <w:r>
        <w:rPr>
          <w:rFonts w:eastAsia="Arial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</w:rPr>
        <w:t>曹長青</w:t>
      </w: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</w:rPr>
        <w:t>](https://freechina.live/research-archive/people-organizations/cao-changqing/)</w:t>
      </w:r>
    </w:p>
    <w:p>
      <w:pPr>
        <w:pStyle w:val="BodyText"/>
        <w:bidi w:val="0"/>
        <w:spacing w:lineRule="auto" w:line="273"/>
        <w:ind w:hanging="0" w:left="0" w:right="0"/>
        <w:jc w:val="left"/>
        <w:rPr>
          <w:caps w:val="false"/>
          <w:smallCaps w:val="false"/>
          <w:strike w:val="false"/>
          <w:dstrike w:val="false"/>
          <w:color w:val="000000"/>
          <w:u w:val="none"/>
          <w:effect w:val="none"/>
        </w:rPr>
      </w:pP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</w:rPr>
        <w:t xml:space="preserve">## </w:t>
      </w:r>
      <w:r>
        <w:rPr>
          <w:rFonts w:eastAsia="Arial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</w:rPr>
        <w:t>來源基線</w:t>
      </w:r>
    </w:p>
    <w:p>
      <w:pPr>
        <w:pStyle w:val="BodyText"/>
        <w:bidi w:val="0"/>
        <w:spacing w:lineRule="auto" w:line="273"/>
        <w:ind w:hanging="0" w:left="0" w:right="0"/>
        <w:jc w:val="left"/>
        <w:rPr>
          <w:caps w:val="false"/>
          <w:smallCaps w:val="false"/>
          <w:strike w:val="false"/>
          <w:dstrike w:val="false"/>
          <w:color w:val="000000"/>
          <w:u w:val="none"/>
          <w:effect w:val="none"/>
        </w:rPr>
      </w:pP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</w:rPr>
        <w:t>- [</w:t>
      </w:r>
      <w:r>
        <w:rPr>
          <w:rFonts w:eastAsia="Arial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</w:rPr>
        <w:t xml:space="preserve">人權觀察 </w:t>
      </w: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</w:rPr>
        <w:t xml:space="preserve">/ </w:t>
      </w:r>
      <w:r>
        <w:rPr>
          <w:rFonts w:eastAsia="Arial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</w:rPr>
        <w:t>中國人權，</w:t>
      </w: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</w:rPr>
        <w:t>1995</w:t>
      </w:r>
      <w:r>
        <w:rPr>
          <w:rFonts w:eastAsia="Arial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</w:rPr>
        <w:t>年</w:t>
      </w: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</w:rPr>
        <w:t>](https://www.hrw.org/sites/default/files/reports/CHINA951.PDF)</w:t>
      </w:r>
    </w:p>
    <w:p>
      <w:pPr>
        <w:pStyle w:val="BodyText"/>
        <w:bidi w:val="0"/>
        <w:spacing w:lineRule="auto" w:line="273"/>
        <w:ind w:hanging="0" w:left="0" w:right="0"/>
        <w:jc w:val="left"/>
        <w:rPr>
          <w:caps w:val="false"/>
          <w:smallCaps w:val="false"/>
          <w:strike w:val="false"/>
          <w:dstrike w:val="false"/>
          <w:color w:val="000000"/>
          <w:u w:val="none"/>
          <w:effect w:val="none"/>
        </w:rPr>
      </w:pP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</w:rPr>
        <w:t>- [</w:t>
      </w:r>
      <w:r>
        <w:rPr>
          <w:rFonts w:eastAsia="Arial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</w:rPr>
        <w:t>《台北時報》，</w:t>
      </w: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</w:rPr>
        <w:t>2006</w:t>
      </w:r>
      <w:r>
        <w:rPr>
          <w:rFonts w:eastAsia="Arial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</w:rPr>
        <w:t>年</w:t>
      </w: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</w:rPr>
        <w:t>2</w:t>
      </w:r>
      <w:r>
        <w:rPr>
          <w:rFonts w:eastAsia="Arial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</w:rPr>
        <w:t>月</w:t>
      </w: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</w:rPr>
        <w:t>4</w:t>
      </w:r>
      <w:r>
        <w:rPr>
          <w:rFonts w:eastAsia="Arial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</w:rPr>
        <w:t>日</w:t>
      </w: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</w:rPr>
        <w:t>](https://taiwantt.org.tw/taipeitimes/PDF/2006/02-February/20060204.pdf)</w:t>
      </w:r>
    </w:p>
    <w:p>
      <w:pPr>
        <w:pStyle w:val="BodyText"/>
        <w:bidi w:val="0"/>
        <w:spacing w:lineRule="auto" w:line="273"/>
        <w:ind w:hanging="0" w:left="0" w:right="0"/>
        <w:jc w:val="left"/>
        <w:rPr>
          <w:caps w:val="false"/>
          <w:smallCaps w:val="false"/>
          <w:strike w:val="false"/>
          <w:dstrike w:val="false"/>
          <w:color w:val="000000"/>
          <w:u w:val="none"/>
          <w:effect w:val="none"/>
        </w:rPr>
      </w:pP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</w:rPr>
        <w:t>- [</w:t>
      </w:r>
      <w:r>
        <w:rPr>
          <w:rFonts w:eastAsia="Arial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</w:rPr>
        <w:t>《台北時報》，</w:t>
      </w: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</w:rPr>
        <w:t>2006</w:t>
      </w:r>
      <w:r>
        <w:rPr>
          <w:rFonts w:eastAsia="Arial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</w:rPr>
        <w:t>年</w:t>
      </w: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</w:rPr>
        <w:t>9</w:t>
      </w:r>
      <w:r>
        <w:rPr>
          <w:rFonts w:eastAsia="Arial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</w:rPr>
        <w:t>月</w:t>
      </w: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</w:rPr>
        <w:t>30</w:t>
      </w:r>
      <w:r>
        <w:rPr>
          <w:rFonts w:eastAsia="Arial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</w:rPr>
        <w:t>日</w:t>
      </w: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</w:rPr>
        <w:t>](https://www.taipeitimes.com/News/taiwan/archives/2006/09/30/2003329814)</w:t>
      </w:r>
    </w:p>
    <w:p>
      <w:pPr>
        <w:pStyle w:val="BodyText"/>
        <w:bidi w:val="0"/>
        <w:spacing w:lineRule="auto" w:line="273"/>
        <w:ind w:hanging="0" w:left="0" w:right="0"/>
        <w:jc w:val="left"/>
        <w:rPr>
          <w:caps w:val="false"/>
          <w:smallCaps w:val="false"/>
          <w:strike w:val="false"/>
          <w:dstrike w:val="false"/>
          <w:color w:val="000000"/>
          <w:u w:val="none"/>
          <w:effect w:val="none"/>
        </w:rPr>
      </w:pP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</w:rPr>
        <w:t>- [USAGM Watch</w:t>
      </w:r>
      <w:r>
        <w:rPr>
          <w:rFonts w:eastAsia="Arial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</w:rPr>
        <w:t>，</w:t>
      </w: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</w:rPr>
        <w:t>2017</w:t>
      </w:r>
      <w:r>
        <w:rPr>
          <w:rFonts w:eastAsia="Arial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</w:rPr>
        <w:t>年</w:t>
      </w: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</w:rPr>
        <w:t>9</w:t>
      </w:r>
      <w:r>
        <w:rPr>
          <w:rFonts w:eastAsia="Arial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</w:rPr>
        <w:t>月</w:t>
      </w: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</w:rPr>
        <w:t>20</w:t>
      </w:r>
      <w:r>
        <w:rPr>
          <w:rFonts w:eastAsia="Arial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</w:rPr>
        <w:t>日</w:t>
      </w: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</w:rPr>
        <w:t>](https://bbgwatch.com/video-critical-of-voice-of-america-director-gets-thousands-of-views-in-china/)</w:t>
      </w:r>
    </w:p>
    <w:p>
      <w:pPr>
        <w:pStyle w:val="BodyText"/>
        <w:bidi w:val="0"/>
        <w:spacing w:lineRule="auto" w:line="273"/>
        <w:ind w:hanging="0" w:left="0" w:right="0"/>
        <w:jc w:val="left"/>
        <w:rPr>
          <w:caps w:val="false"/>
          <w:smallCaps w:val="false"/>
          <w:strike w:val="false"/>
          <w:dstrike w:val="false"/>
          <w:color w:val="000000"/>
          <w:u w:val="none"/>
          <w:effect w:val="none"/>
        </w:rPr>
      </w:pP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</w:rPr>
        <w:t xml:space="preserve">- [Tibet.net </w:t>
      </w:r>
      <w:r>
        <w:rPr>
          <w:rFonts w:eastAsia="Arial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</w:rPr>
        <w:t>出版物傳記</w:t>
      </w: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</w:rPr>
        <w:t>](https://tibet.net/wp-content/uploads/2014/10/FACTS-ABOUT-17-POINT-AGREEMENT..pdf)</w:t>
      </w:r>
    </w:p>
    <w:p>
      <w:pPr>
        <w:pStyle w:val="BodyText"/>
        <w:bidi w:val="0"/>
        <w:spacing w:lineRule="auto" w:line="273"/>
        <w:ind w:hanging="0" w:left="0" w:right="0"/>
        <w:jc w:val="left"/>
        <w:rPr>
          <w:caps w:val="false"/>
          <w:smallCaps w:val="false"/>
          <w:strike w:val="false"/>
          <w:dstrike w:val="false"/>
          <w:color w:val="000000"/>
          <w:u w:val="none"/>
          <w:effect w:val="none"/>
        </w:rPr>
      </w:pP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</w:rPr>
        <w:t xml:space="preserve">## </w:t>
      </w:r>
      <w:r>
        <w:rPr>
          <w:rFonts w:eastAsia="Arial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</w:rPr>
        <w:t>證據說明</w:t>
      </w:r>
    </w:p>
    <w:p>
      <w:pPr>
        <w:pStyle w:val="BodyText"/>
        <w:bidi w:val="0"/>
        <w:spacing w:lineRule="auto" w:line="273" w:before="0" w:after="283"/>
        <w:ind w:hanging="0" w:left="0" w:right="0"/>
        <w:jc w:val="left"/>
        <w:rPr>
          <w:rFonts w:eastAsia="Arial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</w:rPr>
      </w:pPr>
      <w:r>
        <w:rPr>
          <w:rFonts w:eastAsia="Arial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</w:rPr>
        <w:t>本檔案區分獨立報道的事實與未解決的法律、身份、羈押、釋放及組織細節。未決事項明確保持未解決狀態，而非進行推斷。</w:t>
      </w:r>
    </w:p>
    <w:sectPr>
      <w:type w:val="nextPage"/>
      <w:pgSz w:w="11906" w:h="16838"/>
      <w:pgMar w:left="1134" w:right="567" w:gutter="0" w:header="0" w:top="567" w:footer="0" w:bottom="567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Noto Sans">
    <w:charset w:val="01"/>
    <w:family w:val="auto"/>
    <w:pitch w:val="variable"/>
  </w:font>
  <w:font w:name="Liberation Sans">
    <w:altName w:val="Arial"/>
    <w:charset w:val="01"/>
    <w:family w:val="swiss"/>
    <w:pitch w:val="variable"/>
  </w:font>
  <w:font w:name="Arial">
    <w:charset w:val="01"/>
    <w:family w:val="auto"/>
    <w:pitch w:val="default"/>
  </w:font>
</w:fonts>
</file>

<file path=word/settings.xml><?xml version="1.0" encoding="utf-8"?>
<w:settings xmlns:w="http://schemas.openxmlformats.org/wordprocessingml/2006/main">
  <w:view w:val="web"/>
  <w:zoom w:percent="100"/>
  <w:defaultTabStop w:val="1134"/>
  <w:autoHyphenation w:val="true"/>
  <w:compat>
    <w:compatSetting w:name="compatibilityMode" w:uri="http://schemas.microsoft.com/office/word" w:val="12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Noto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Liberation Serif" w:hAnsi="Liberation Serif" w:eastAsia="Noto Serif CJK SC" w:cs="Noto Sans Devanagari"/>
      <w:color w:val="auto"/>
      <w:sz w:val="24"/>
      <w:szCs w:val="24"/>
      <w:lang w:val="en-US" w:eastAsia="zh-CN" w:bidi="hi-IN"/>
    </w:rPr>
  </w:style>
  <w:style w:type="paragraph" w:styleId="Heading1">
    <w:name w:val="Heading 1"/>
    <w:basedOn w:val="Heading"/>
    <w:next w:val="BodyText"/>
    <w:qFormat/>
    <w:pPr/>
    <w:rPr>
      <w:rFonts w:ascii="Noto Sans" w:hAnsi="Noto Sans"/>
      <w:b/>
      <w:bCs/>
      <w:sz w:val="48"/>
      <w:szCs w:val="44"/>
    </w:rPr>
  </w:style>
  <w:style w:type="character" w:styleId="EndnoteCharacters">
    <w:name w:val="Endnote Characters"/>
    <w:qFormat/>
    <w:rPr/>
  </w:style>
  <w:style w:type="character" w:styleId="FootnoteCharacters">
    <w:name w:val="Footnote Characters"/>
    <w:qFormat/>
    <w:rPr/>
  </w:style>
  <w:style w:type="character" w:styleId="Hyperlink">
    <w:name w:val="Hyperlink"/>
    <w:rPr>
      <w:color w:val="000080"/>
      <w:u w:val="single"/>
    </w:rPr>
  </w:style>
  <w:style w:type="paragraph" w:styleId="HorizontalLine">
    <w:name w:val="Horizontal Line"/>
    <w:basedOn w:val="Normal"/>
    <w:next w:val="BodyText"/>
    <w:qFormat/>
    <w:pPr>
      <w:pBdr>
        <w:bottom w:val="double" w:sz="2" w:space="0" w:color="808080"/>
      </w:pBdr>
      <w:spacing w:before="0" w:after="283"/>
    </w:pPr>
    <w:rPr>
      <w:sz w:val="12"/>
    </w:rPr>
  </w:style>
  <w:style w:type="paragraph" w:styleId="EnvelopeReturn">
    <w:name w:val="Envelope Return"/>
    <w:basedOn w:val="Normal"/>
    <w:pPr/>
    <w:rPr>
      <w:i/>
    </w:rPr>
  </w:style>
  <w:style w:type="paragraph" w:styleId="TableContents">
    <w:name w:val="Table Contents"/>
    <w:basedOn w:val="BodyText"/>
    <w:qFormat/>
    <w:pPr/>
    <w:rPr/>
  </w:style>
  <w:style w:type="paragraph" w:styleId="Footer">
    <w:name w:val="Footer"/>
    <w:basedOn w:val="Normal"/>
    <w:pPr>
      <w:suppressLineNumbers/>
      <w:tabs>
        <w:tab w:val="clear" w:pos="1134"/>
        <w:tab w:val="center" w:pos="4818" w:leader="none"/>
        <w:tab w:val="right" w:pos="9637" w:leader="none"/>
      </w:tabs>
    </w:pPr>
    <w:rPr/>
  </w:style>
  <w:style w:type="paragraph" w:styleId="Header">
    <w:name w:val="Header"/>
    <w:basedOn w:val="Normal"/>
    <w:pPr>
      <w:suppressLineNumbers/>
      <w:tabs>
        <w:tab w:val="clear" w:pos="1134"/>
        <w:tab w:val="center" w:pos="4818" w:leader="none"/>
        <w:tab w:val="right" w:pos="9637" w:leader="none"/>
      </w:tabs>
    </w:pPr>
    <w:rPr/>
  </w:style>
  <w:style w:type="paragraph" w:styleId="HeaderandFooter">
    <w:name w:val="Header and Footer"/>
    <w:basedOn w:val="Normal"/>
    <w:qFormat/>
    <w:pPr>
      <w:suppressLineNumbers/>
      <w:tabs>
        <w:tab w:val="clear" w:pos="1134"/>
        <w:tab w:val="center" w:pos="4819" w:leader="none"/>
        <w:tab w:val="right" w:pos="9638" w:leader="none"/>
      </w:tabs>
    </w:pPr>
    <w:rPr/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List">
    <w:name w:val="List"/>
    <w:basedOn w:val="BodyText"/>
    <w:pPr/>
    <w:rPr>
      <w:rFonts w:cs="Noto Sans Devanagari"/>
    </w:rPr>
  </w:style>
  <w:style w:type="paragraph" w:styleId="BodyText">
    <w:name w:val="Body Text"/>
    <w:basedOn w:val="Normal"/>
    <w:pPr>
      <w:spacing w:before="0" w:after="283"/>
    </w:pPr>
    <w:rPr/>
  </w:style>
  <w:style w:type="paragraph" w:styleId="Heading">
    <w:name w:val="Heading"/>
    <w:basedOn w:val="Normal"/>
    <w:next w:val="BodyText"/>
    <w:qFormat/>
    <w:pPr>
      <w:keepNext w:val="true"/>
      <w:spacing w:before="240" w:after="283"/>
    </w:pPr>
    <w:rPr>
      <w:rFonts w:ascii="Liberation Sans" w:hAnsi="Liberation Sans"/>
      <w:sz w:val="28"/>
      <w:szCs w:val="28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LibreOffice/24.2.7.2$Linux_X86_64 LibreOffice_project/420$Build-2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>曹长青（曹长青） — 媒體檔案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