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Yang Manke — Perfil mediático y archivo</w:t>
      </w:r>
    </w:p>
    <w:p>
      <w:pPr>
        <w:pStyle w:val="Heading1"/>
        <w:bidi w:val="0"/>
        <w:jc w:val="left"/>
        <w:rPr/>
      </w:pPr>
      <w:r>
        <w:rPr/>
        <w:t>Yang Manke — Perfil mediático y archivo</w:t>
      </w:r>
    </w:p>
    <w:p>
      <w:pPr>
        <w:pStyle w:val="BodyText"/>
        <w:bidi w:val="0"/>
        <w:jc w:val="left"/>
        <w:rPr/>
      </w:pPr>
      <w:r>
        <w:rPr>
          <w:rStyle w:val="Strong"/>
        </w:rPr>
        <w:t>Perfil canónico:</w:t>
      </w:r>
      <w:r>
        <w:rPr/>
        <w:t xml:space="preserve"> </w:t>
      </w:r>
      <w:hyperlink r:id="rId2">
        <w:r>
          <w:rPr>
            <w:rStyle w:val="Hyperlink"/>
          </w:rPr>
          <w:t>Yang Manke (</w:t>
        </w:r>
        <w:r>
          <w:rPr>
            <w:rStyle w:val="Hyperlink"/>
          </w:rPr>
          <w:t>杨漫克</w:t>
        </w:r>
        <w:r>
          <w:rPr>
            <w:rStyle w:val="Hyperlink"/>
          </w:rPr>
          <w:t>)</w:t>
        </w:r>
      </w:hyperlink>
    </w:p>
    <w:p>
      <w:pPr>
        <w:pStyle w:val="BodyText"/>
        <w:bidi w:val="0"/>
        <w:jc w:val="left"/>
        <w:rPr/>
      </w:pPr>
      <w:r>
        <w:rPr/>
        <w:t>Este archivo reúne publicaciones verificadas y material de fuentes sobre la escritura y el reportaje de Yang Manke en el movimiento democrático en el exilio.</w:t>
      </w:r>
    </w:p>
    <w:p>
      <w:pPr>
        <w:pStyle w:val="Heading2"/>
        <w:bidi w:val="0"/>
        <w:jc w:val="left"/>
        <w:rPr/>
      </w:pPr>
      <w:r>
        <w:rPr/>
        <w:t>Línea base de fuentes</w:t>
      </w:r>
    </w:p>
    <w:p>
      <w:pPr>
        <w:pStyle w:val="BodyText"/>
        <w:bidi w:val="0"/>
        <w:jc w:val="left"/>
        <w:rPr/>
      </w:pPr>
      <w:r>
        <w:rPr/>
        <w:t xml:space="preserve">La línea base controlada incluye los números originales 100, 101, 105 y 108 de </w:t>
      </w:r>
      <w:r>
        <w:rPr>
          <w:rStyle w:val="Emphasis"/>
        </w:rPr>
        <w:t>China Spring</w:t>
      </w:r>
      <w:r>
        <w:rPr/>
        <w:t>, material de historia del movimiento y corroboración académica independiente en inglés y en alemán. Los números originales respaldan directamente la autoría de las publicaciones de Yang durante 1991–1992.</w:t>
      </w:r>
    </w:p>
    <w:p>
      <w:pPr>
        <w:pStyle w:val="Heading2"/>
        <w:bidi w:val="0"/>
        <w:jc w:val="left"/>
        <w:rPr/>
      </w:pPr>
      <w:r>
        <w:rPr/>
        <w:t>Objetivos de investigación</w:t>
      </w:r>
    </w:p>
    <w:p>
      <w:pPr>
        <w:pStyle w:val="BodyText"/>
        <w:bidi w:val="0"/>
        <w:jc w:val="left"/>
        <w:rPr/>
      </w:pPr>
      <w:r>
        <w:rPr/>
        <w:t xml:space="preserve">Los registros de membresía y asignación de CAD, los registros de cabecera o de personal de </w:t>
      </w:r>
      <w:r>
        <w:rPr>
          <w:rStyle w:val="Emphasis"/>
        </w:rPr>
        <w:t>China Spring</w:t>
      </w:r>
      <w:r>
        <w:rPr/>
        <w:t xml:space="preserve"> que confirmen un título de reportero o editor, la evidencia bibliográfica de </w:t>
      </w:r>
      <w:r>
        <w:rPr/>
        <w:t xml:space="preserve">《东欧创世纪》 </w:t>
      </w:r>
      <w:r>
        <w:rPr/>
        <w:t>y el reportaje contemporáneo de Europa del Este siguen siendo objetivos prioritarios. No se infiere ningún cargo formal a partir únicamente de la autoría de las publicaciones.</w:t>
      </w:r>
    </w:p>
    <w:p>
      <w:pPr>
        <w:pStyle w:val="BodyText"/>
        <w:bidi w:val="0"/>
        <w:jc w:val="left"/>
        <w:rPr/>
      </w:pPr>
      <w:r>
        <w:rPr/>
        <w:t>Última sincronización del archivo: 20 de septiembre de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 (</w:t>
        </w:r>
        <w:r>
          <w:rPr>
            <w:rStyle w:val="Hyperlink"/>
          </w:rPr>
          <w:t>杨漫克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/" TargetMode="External"/><Relationship Id="rId3" Type="http://schemas.openxmlformats.org/officeDocument/2006/relationships/hyperlink" Target="https://freechina.live/es/research-archive/people-organizations/yang-mank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Yang Manke — Perfil mediático y archivo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