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 xml:space="preserve">曹长青（曹长青） — </w:t>
      </w:r>
      <w:r>
        <w:rPr/>
        <w:t>Perfil y archivo de medios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**Cao Changqing /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曹长青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Periodista y escritor disidente chino. La base controlada documenta su rol editorial en Shenzhen Youth y la represión de 1987, su inclusión posterior en una lista negra de reingreso de la RPC (China continental), y una larga carrera de periodismo y comentario con sede en EE.UU. Los detalles exactos de la carta pública de 1989 y de la oficina de Press Freedom Herald permanecen abiertos.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**Perfil de persona canónico:** [Cao Changqing /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曹长青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](https://freechina.live/research-archive/people-organizations/cao-changqing/)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## Base de fuentes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[Human Rights Watch / Human Rights in China, 1995](https://www.hrw.org/sites/default/files/reports/CHINA951.PDF)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[Taipei Times, 4 de febrero de 2006](https://taiwantt.org.tw/taipeitimes/PDF/2006/02-February/20060204.pdf)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[Taipei Times, 30 de septiembre de 2006](https://www.taipeitimes.com/News/taiwan/archives/2006/09/30/2003329814)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[USAGM Watch, 20 de septiembre de 2017](https://bbgwatch.com/video-critical-of-voice-of-america-director-gets-thousands-of-views-in-china/)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[Biografía de publicación Tibet.net](https://tibet.net/wp-content/uploads/2014/10/FACTS-ABOUT-17-POINT-AGREEMENT..pdf)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## Notas sobre las pruebas</w:t>
      </w:r>
    </w:p>
    <w:p>
      <w:pPr>
        <w:pStyle w:val="BodyText"/>
        <w:bidi w:val="0"/>
        <w:spacing w:lineRule="auto" w:line="273" w:before="0" w:after="28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Este archivo distingue los hechos reportados de forma independiente de los detalles legales, de identidad, de custodia, de liberación y organizativos no resueltos. Los puntos abiertos permanecen explícitamente no resueltos en lugar de ser inferidos.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曹长青（曹长青） — Perfil y archivo de medios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