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China Information Control &amp; Circumvention History: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Policies, Cases, Technologies and Countermeasures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Longitudinal research framework linking policy, named cases, technology layers and countermeasures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Research status Living Research / Frozen PDF Snapshot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Version v2026.09.18.1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Publication date September 18, 2026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Canonical web edition https://freechina.live/english/china-information-control-circumvention-history-policies-cases-technologies-countermeasures/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Publisher Free China Movement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Citation Free China Movement, China Information Control &amp; Circumvention History: Policies, Cases, Technologies and Countermeasures,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v2026.09.18.1, September 18, 2026.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Version-control note: this PDF is an immutable snapshot of the living web research page. Later substantive revisions receive a new version identifier; prior PDFs remain available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in the web page's version history.Executive Summary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research framework traces information control in mainland China as a connected historical system rather than a list of isolated laws or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censorship incidents. The core model is: policy or restriction → named person/case → technical or platform mechanism → documented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countermeasure → subsequent state/platform response.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project separates five evidence layers: law/policy, network interference, platform enforcement, identity/data controls, and AI/model behavior.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Official stated purposes are recorded separately from independently documented effects and contested interpretations.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 Historical Spine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1989: fax, telephone and early networked information flows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Before widespread public internet access, fax machines, telephone calls and early computer networks moved news, photographs and testimony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between China and overseas communities. The structural pattern - new distribution channels followed by new control mechanisms - later reappears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with email, websites, social media, VPNs and AI.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1998-2000: independent websites and Huang Qi / 黄琦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Huang Qi and Zeng Li launched Tianwang in 1998. It evolved from a missing-persons site into a platform carrying reports on abuses of power and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other sensitive issues. Huang's later detention and prosecution show that information control includes person-level enforcement as well as network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or platform restrictions.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2000: formal internet information regulation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The Internet Information Services Measures created a nationwide regulatory framework for internet information services and form an early policy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anchor for the legal timeline.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2004-2005: Shi Tao / 师涛 and provider-held data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Shi Tao's prosecution linked a propaganda directive, cross-border email, provider-held subscriber/IP information and criminal enforcement. The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case is a central example of why content encryption and identifying metadata are separate security questions.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2005-2006: Zhao Jing / 赵京 (安替) and Microsoft-hosted speech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Microsoft's removal of Zhao Jing's MSN Spaces blog became a prominent early case of a multinational platform responding to local censorship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demands. Microsoft later adjusted its policy so that content blocked for users in China could remain available elsewhere.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2010: Google.cn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Google's decision to stop self-censoring Google.cn results illustrates the interaction among local licensing, platform policy, cross-border hosting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and network access.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2013-2015: GitHub and the Great Cannon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GitHub interference demonstrated the need to distinguish DNS poisoning, connection resets and HTTPS/application behavior. In 2015 Citizen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Lab documented the Great Cannon, extending the technical model from blocking to active traffic injection against external infrastructure.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2015-2017: account identity and WeChat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Real-name/account rules formalized identity verification behind public-facing accounts, while Citizen Lab documented server-side and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account-scoped WeChat censorship. A user can face information controls at both identity and content-service layers even if the underlying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network connection functions.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2017: licensing, cross-border connectivity and VPN-market controls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Internet-news licensing and MIIT's internet access-service campaign strengthened regulation of online news and cross-border connectivity.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Provider and market rules must be logged separately from network packet filtering.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2016-2019: Huang Qi / 黄琦 and 64 TianwangHuang Qi's later prosecution shows continuity between early internet publishing and later rights-reporting cases: technical access controls coexist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with criminal enforcement against publishers and sources.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2020: COVID-19 information-control cluster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 early COVID-19 outbreak provides a dense set of named cases: Li Wenliang / 李文亮, Chen Qiushi / 陈秋实, Li Zehua / 李泽华, Zhang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 / 张展, and the Terminus 2049 archivists Chen Mei / 陈玫 and Cai Wei / 蔡伟. Together they show police admonition, disappearance or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supervised quarantine, criminal prosecution, overseas-platform publishing, and archiving of material deleted from domestic platforms.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2022: account information and search censorship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The 2022 account-information rules further integrated real-identity verification, account governance and content controls. Search-platform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research demonstrates that network reachability and information discoverability are separate empirical questions.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2023: generative AI and censorship measurement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China's generative-AI rules brought public-facing generative AI services into the regulatory framework. Separately, OONI's blocking in China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demonstrated that censorship measurement infrastructure itself can become a target.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2025: national network identity credentials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 national network identity authentication public service created '网号/网证' credentials intended to support identity verification without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repeatedly exposing plaintext identity information. The project records both the official privacy/verification rationale and the broader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institutionalization of online identity verification without inferring motive beyond evidence.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2026: DeepSeek black-box audit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Free China Movement's September 2026 DeepSeek audit documented content-sensitive response differences while explicitly avoiding claims that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black-box behavior reveals hidden moderation architecture or a deterministic blacklist.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2. Evidence-Layer Matrix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Layer Examples What evidence can establish What it cannot establish alone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Law / policy CAC/MIIT regulations, directives Formal requirements, dates, official stated purposes Actual implementation in every case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Network DNS injection, IP blocking, TCP resets,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TLS interference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Observed reachability interference Platform moderation or policymaker motive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Platform Post deletion, search suppression,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account restrictions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Observed service behavior Whether national network filtering also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occurred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Identity / data Real-name checks, account metadata,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subscriber/IP records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Identity linkage or retained data Whether message content was read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AI / service Refusal, retrieval behavior, routing,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output moderation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Behavior of tested model/interface/version Hidden architecture or training-data status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Enforcement Police action, detention, prosecution,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judgment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Documented state action A universal causal theory of censorship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3. People and Case Index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Person/case Period Information-control significance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Tiananmen Mothers / 天安门母亲 1989-present Historical-memory preservation; restrictions on commemoration; 2026 AI test case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Huang Qi / 黄琦 1998-2003; later case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history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Early independent internet publishing; repeated prosecution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Shi Tao / 师涛 2004-2013 Propaganda directive, overseas email, Yahoo subscriber/IP evidence, 10-year sentence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Zhao Jing / 赵京 (安替) 2005-2006 Microsoft-hosted blog removal and cross-jurisdiction platform policyPerson/case Period Information-control significance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Wenliang / 李文亮 2019-2020 Early outbreak warning, police admonition and online transparency debate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Chen Qiushi / 陈秋实 2020 Independent Wuhan video reporting and disappearance / surveillance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Zehua / 李泽华 2020 Livestreaming, disappearance and supervised quarantine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Zhan / 张展 2020-2026 Citizen reporting and two prison terms documented by CPJ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Chen Mei / 陈玫 + Cai Wei / 蔡伟 2018-2020 case Terminus 2049 archive of deleted/censored online material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DeepSeek black-box audit 2026 Controlled AI-response testing; evidence-layer discipline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4. Countermeasure History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Countermeasure family Historical purpose Typical response or limitation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Overseas hosting / mirrors Preserve content outside domestic hosting controls Domain/IP blocking, search suppression, access-path blocking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Email / newsletters Direct distribution outside public web indexes Filtering, monitoring and metadata exposure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HTTPS / encrypted messaging Protect content in transit Endpoint/account controls, metadata and TLS interference remain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VPNs / proxies Reach services blocked locally Endpoint/protocol detection; provider regulation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Tor bridges / pluggable transports Resist enumeration and protocol classification Bridge discovery, active probing and transport adaptation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Screenshots / coded language /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homophones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Redistribute removed social content OCR/semantic moderation and account sanctions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Diaspora / redundant archives Preserve evidence after deletion Archive/repository blocking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Censorship measurement Empirically document what is blocked and how Measurement services themselves may be blocked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AI black-box auditing Measure response differences without internal access Requires repetition, controls, version/account/region logging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5. Research Data Model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Canonical fields: Date | policy/law/directive | issuing authority | official stated purpose | restriction mechanism | medium/service | named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people/cases | organization/company/platform | enforcement action | technical/data mechanism | documented countermeasure | subsequent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state/platform response | primary source | independent source | P1 profile | case page | AI relation | confidence/evidence status.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6. Sensitive-Information and Model-Testing Protocol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- Do not publish passwords, tokens, live credentials, private contact details or unnecessary unpublished family information.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- Prefer public historical material, controlled strings or redacted examples in AI testing.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- Record exact prompt, model/version, interface/API, date/time, account/region context when relevant, complete response and screenshot.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- Keep training data, retrieval, moderation, routing and final output as separate fields.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- Do not treat a model's explanation of its own refusal as authoritative documentation of hidden architecture.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- Link named people to canonical profiles and policies to official source texts; separately identify independent evidence of effects.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7. Version-Control Policy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The living web edition is the current research surface. Each substantive release is frozen as an immutable PDF. A new PDF version is required when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a primary source is added, a factual correction changes meaning, a major case or policy is added, a methodology or dataset changes, or a material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countermeasure update is incorporated. Typography-only edits do not require a new research version.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8. Selected References- State Council / CAC. Internet Information Services Measures (2000).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- MIIT. 2017 internet access-service market campaign and Internet Domain Name Management Measures.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Citizen Lab. One App, Two Systems (2016).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- Citizen Lab. China's Great Cannon (2015).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Citizen Lab. Missing Links: A Comparison of Search Censorship in China (2023).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- OONI. China started blocking OONI (2023).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- Committee to Protect Journalists. Shi Tao, Huang Qi, Zhang Zhan and related case documentation.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- Human Rights Watch. Li Wenliang, Chen Mei/Cai Wei and COVID-19 expression cases.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- Free China Movement. DeepSeek Black-Box Audit (2026).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© 2026 Free China Movement. All rights reserved.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