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Working Paper 1.0 — September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paper examines information control as one possible determinant of innovation efficiency in mainland China. It does not treat information policy as a sufficient explanation of growth, productivity, or political development, and it does not rank political systems.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Abstract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Mainland China’s economic transformation since the late 1970s combined industrialization, labor reallocation, capital accumulation, infrastructure investment, trade, foreign direct investment, education, technology transfer, entrepreneurship, and increasingly sophisticated domestic research. These mechanisms supported an extraordinary period of catch-up growth and created a scientific and industrial system capable of major technological innovation.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institutional requirements of catch-up, however, need not be identical to those of sustained technological leadership. As an economy approaches the frontier, opportunities for productivity gains through labor transfer, capital deepening, infrastructure expansion, imitation, and absorption of established technologies become relatively less important. Growth depends more heavily on original knowledge production, entrepreneurial experimentation, scientific criticism, interdisciplinary recombination, and the discovery of technologies whose value is not known in advance.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This paper asks whether information controls maintained by PRC authorities in mainland China impose costs that become more economically significant as the economy approaches that frontier. It develops an Information-Frontier Hypothesis: the marginal cost of broad restrictions on legitimate information rises with technological proximity to the frontier because frontier innovation depends disproportionately on distant search, heterogeneous knowledge, international research networks, criticism, and decentralized experimentation.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hypothesis does not predict technological stagnation. Mainland China itself is strong evidence against such a claim. Official PRC statistics report R&amp;D expenditure of RMB 3.9262 trillion in 2025, equal to 2.80 percent of GDP. WIPO placed the PRC tenth in its 2025 Global Innovation Index and reported 24 PRC innovation clusters among the global top 100. National Bureau of Statistics; WIPO GII 2025.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strongest causal evidence available for the proposed mechanism comes from Yanfeng Zheng and Qinyu (Ryan) Wang’s study of the PRC government’s 2014 blockade of Google. Using a matched difference-in-differences design, the authors find that affected inventors in mainland China subsequently searched less distantly in technological and cognitive space; the effect was stronger in science-proximate fields, weaker among inventors with larger collaboration networks, and associated with lower economic value of inventions. Zheng &amp; Wang, Strategic Management Journal.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paper treats these findings as evidence of a mechanism rather than proof of an economy-wide “innovation tax.” It proposes a research program focused on search distance, network substitution, exploratory research, recombination, and the interaction between information access and frontier proximity. It also examines institutional alternatives—including proposals associated with the Third Republic—as falsifiable counterfactuals rather than predetermined conclusions.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 A changing development problem</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economic problem confronting mainland China in 2026 is different from the one that existed at the beginning of reform. In the late 1970s and 1980s, large productivity gains could be generated by moving labor into higher-productivity activities, increasing capital formation, building infrastructure, adopting technologies already demonstrated elsewhere, and integrating mainland production into global trade and investment.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World Bank’s China 2030 report describes earlier productivity gains in terms of structural transformation, foreign technology and organizational spillovers, technological catch-up, capital accumulation, infrastructure improvement, and greater competition and openness. It also argues that future growth would depend increasingly on total-factor productivity and innovation as the earlier sources of convergence became less powerful. China 2030.</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IMF’s 2025 Article IV consultation, published in 2026, similarly projects slower medium-term growth as a result of a declining labor force, decreasing returns to investment, and slower productivity growth as the economy converges toward the global technological frontier. The IMF separately identifies property-sector adjustment, debt, weak domestic demand, and trade uncertainty as important risks. IMF Article IV.</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argument here is therefore deliberately limited. Information restriction is treated as one possible determinant of innovation efficiency, not as a monocausal explanation of mainland China’s macroeconomic trajectory.</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2. Catch-up and frontier innovation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For analytical purposes, three development processes can be distinguished, although in practice they overlap. The first is factor mobilization: industrialization, infrastructure, urbanization, labor reallocation, and capital formation. The second is technology absorption: foreign direct investment, technology transfer, engineering adaptation, learning-by-doing, and incremental improvement. The third is frontier knowledge creation: basic research, new theories, novel architectures, entrepreneurial entry, interdisciplinary recombination, and high-risk discovery.</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difference is not that one stage innovates and another does not. It is that catch-up can rely heavily on knowledge whose existence and value are already established. Frontier development places greater weight on finding knowledge whose location, combination, or future application is uncertain.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This distinction matters because the economic value of information access may change with development stage. A restriction that has modest effects when firms are primarily adopting known technologies may have larger effects when researchers are searching for distant, uncertain, and interdisciplinary combinations.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3. Mainland China’s innovation capacity</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Mainland China is now a research-intensive economy. Official PRC statistics report that R&amp;D expenditure reached RMB 3.9262 trillion in 2025, 2.80 percent of GDP; basic-research expenditure was RMB 277.8 billion, or 7.08 percent of total R&amp;D. National Bureau of Statistics.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WIPO’s 2025 Global Innovation Index placed the PRC tenth overall and first in Knowledge and Technology Outputs. Its cluster ranking counted 24 PRC clusters among the global top 100, with Shenzhen–Hong Kong–Guangzhou ranked first and Beijing fourth under the revised 2025 methodology. WIPO GII results; WIPO cluster ranking.</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These facts are not exceptions to the argument; they define the problem more precisely. Information control plainly has not prevented sophisticated engineering, large-scale R&amp;D, globally significant technology firms, or major innovation clusters. The relevant question is whether the same scientific and industrial capacity would produce a different distribution of discovery under a broader effective search environment.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4. Innovation as search</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Innovation is partly a search problem. New value often comes from combining knowledge produced in distant fields, institutions, or networks. Artificial intelligence itself emerged from interactions among computer science, statistics, mathematics, neuroscience, optimization, hardware engineering, and large-scale data systems.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 useful conceptual representation is: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 = f(H, R, S, N, 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where H denotes human capital, R research resources, S the effective knowledge-search space, N professional and international networks, and E the institutional incentives governing experimentation and criticism.</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Mainland China has expanded human capital and research resources dramatically. The Great Firewall question concerns whether information policy reduces parts of the effective search space, weakens some networks, or changes the incentives surrounding inquiry.</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5. The 2014 Google blockade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most direct causal evidence presently available is the 2020 Strategic Management Journal article by Yanfeng Zheng and Qinyu (Ryan) Wang. The authors exploit the PRC government’s unexpected 2014 blockade of Google and compare affected mainland patents with matched controls from nearby regions in a difference-in-differences design. Zheng &amp; Wang.</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They find that inventors in mainland China subsequently searched less distantly in both technological and cognitive space. The effect was stronger in fields closer to science and less severe among inventors with larger collaboration networks. The study also reports lower economic value for inventions following the blockade.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This does not establish the aggregate GDP cost of the Great Firewall, and it should not be generalized mechanically to every blocked service. What it does establish is narrower but important: an externally imposed information-access shock can alter the direction of innovative search and the value of resulting inventions.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6. The Information-Frontier Hypothesis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Let D represent the intensity of information restriction, F proximity to the technological frontier, and CI the economic cost associated with constrained information search. The central hypothesis is: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Arial Unicode MS" w:cs="Arial Unicode MS" w:eastAsia="Arial Unicode MS" w:hAnsi="Arial Unicode MS"/>
          <w:rtl w:val="0"/>
        </w:rPr>
        <w:t xml:space="preserve">∂²CI / ∂D∂F &amp;gt; 0</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In words: the cost generated by a given amount of information restriction increases as an economy moves closer to the technological frontier.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mechanism is straightforward. Far from the frontier, large productivity gains remain available through infrastructure, capital accumulation, technology adoption, and replication of known production systems. Near the frontier, more economic value depends on questions whose answers are not known beforehand. Distant search, unusual recombination, disagreement, and trial-and-error therefore become relatively more important.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7. Testable implications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hypothesis generates several observable predictions. Greater information restriction should reduce technological and cognitive search distance; that effect should be larger in frontier-proximate sectors; and international or professional networks should partly substitute for lost information channels. Researchers outside elite institutions may therefore bear larger costs than globally connected researchers with multiple alternative channels.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theory also predicts stronger effects on open-ended exploratory research than on development projects with tightly specified objectives, fewer unusual combinations of distant technologies or disciplines, and slower correction where criticism or adverse information is suppressed. As artificial intelligence becomes a major intermediary for search and research, information constraints may also propagate through training data, alignment, retrieval, and inference. The companion paper, From the Great Firewall to the Great Model Firewall, develops that extension.</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8. Information restriction is not a single treatment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 term “Great Firewall” can obscure more than it reveals if it is treated as one uniform intervention. Restrictions on general search, academic resources, developer platforms, publishing, collaboration, and AI-mediated information act through different mechanisms and affect different populations.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 serious empirical program should therefore build an event-level dataset recording the date, service, type of restriction, geographic scope, duration, knowledge function, exposed population, comparison group, and plausible innovation outcomes. The 2014 Google blockade is especially useful because its timing supports a credible research design. Other restrictions require separate identification rather than analogy.</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9. Distributional effects inside mainland China</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Zheng and Wang’s finding that larger collaboration networks mitigated the effect of the Google blockade suggests that information restrictions may create unequal burdens within mainland China’s own research system. Researchers at globally connected universities and firms may rely on overseas collaborators, institutional subscriptions, conferences, or prior international training. Students, independent researchers, smaller firms, and institutions outside major clusters may have fewer substitutes.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If so, the same formal restriction can have very different practical costs across institutions. This matters for innovation because future breakthrough researchers and entrepreneurs cannot be identified in advance. A system that leaves established elites relatively well connected may still narrow opportunity for less-connected entrants.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10. Comparative evidence and institutional alternatives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International comparisons are useful only when broad political labels are decomposed into more specific variables. Relevant dimensions include information access, state capacity, commercial legal predictability, market entry, international research integration, academic autonomy, R&amp;D intensity, and proximity to the technological frontier.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ROC (Taiwan) is useful as an advanced Chinese-language economy operating in a substantially more open global information environment, but it is not a controlled experiment. Its scale, security position, industrial specialization, and institutional history differ significantly from mainland China’s. South Korea shows that much industrial catch-up can occur under authoritarian rule while later technological development continues after political liberalization; that sequence is historically important but does not by itself identify causation. Singapore demonstrates that strong state capacity, constrained political competition, global commercial integration, and extensive international knowledge access can coexist, making it an important counterexample to any simple democracy-versus-authoritarianism formulation. Vietnam shows that one-party government can coexist with rapid catch-up through trade, foreign investment, and technology absorption while remaining at a much earlier stage of domestic R&amp;D intensity.</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These cases do not establish an institutional winner. They show why the research question should be framed in terms of mechanisms rather than regime categories.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11. Constitutional and Third Republic proposals as hypotheses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Chinese constitutional-democratic proposals are relevant to this paper only insofar as their institutional claims can be translated into observable economic mechanisms. Charter 08, for example, advocates constitutional constraints, judicial independence, freedom of expression, press freedom, freedom of association, and academic freedom. CECC: Charter 08. Those proposals generate empirical questions about contract credibility, research autonomy, professional networks, error correction, and discretionary policy risk.</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 same standard applies to the proposed Third Republic. Its institutional claims should not be treated as economically correct by definition. The useful counterfactual is whether a different combination of information access, judicial review, market contestability, research autonomy, transparency, and accountability could increase the productivity of mainland China’s existing scientific base while preserving state capacity, infrastructure, industrial depth, and human capital.</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Institutional propositionPossible mechanismCounter-riskOutcome to measure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Broader global information accessLarger effective search spaceMisinformation and security exposureCitation distance, source diversity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Independent adjudicationMore credible commitmentsDelay and conflicting decisionsInvestment, firm formation</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Academic autonomyMore exploratory researchWeak prioritization or accountabilityNovelty, interdisciplinarity</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Expression protectionsFaster error correctionNoise and misinformationCorrection speed, disclosure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Market contestabilityEntry and creative destructionShort-run disruptionEntry, exit, productivity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Government transparencyLower information asymmetryDisclosure and security tradeoffsRisk pricing, investment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Constitutional constraintsLower arbitrary-policy riskInstitutional deadlockInvestment horizon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Political accountabilityFeedback and correctionShort-term incentivesPolicy durability and quality</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The point of this comparison is not to endorse a political architecture. It is to convert institutional propositions into measurable hypotheses.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12. Measuring the innovation tax</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 useful conceptual definition is:</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Arial Unicode MS" w:cs="Arial Unicode MS" w:eastAsia="Arial Unicode MS" w:hAnsi="Arial Unicode MS"/>
          <w:rtl w:val="0"/>
        </w:rPr>
        <w:t xml:space="preserve">TI = Iopen counterfactual − Iobserved</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The counterfactual is not directly observable. Any empirical estimate therefore has to identify component mechanisms such as search-friction loss, weaker network access, self-censorship, slower error correction, or changes in the distribution of available data and information.</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Open information systems also have costs. They contain misinformation, manipulation, security risks, harmful material, and intellectual-property problems. The relevant quantity is therefore the net effect of information governance, not an assumption that every restriction is harmful.</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Similarly, innovation should not be reduced to patent counts. More informative outcomes include patent citation distance, novel combinations of patent classes, science dependence, forward citations, international co-invention and coauthorship, disciplinary diversity, researcher mobility, startup formation, and the balance between basic and experimental-development expenditure.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13. Identification strategy</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central empirical challenge is to distinguish information effects from the many other forces affecting mainland China’s productivity and innovation. Event studies and difference-in-differences designs are particularly valuable when a discrete information-access shock affects some actors more than others. Sectoral analysis can test whether effects are larger closer to the technological frontier. Network heterogeneity can test whether international collaborators, overseas training, or strong institutional networks substitute for blocked channels.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A stylized specification is: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Innovationist = α + β₁Accessit + β₂Frontierst + β₃(Access × Frontier)ist + Xistγ + μi + λt + εist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 theoretically important term is the interaction between access and frontier proximity. The hypothesis predicts that information accessibility should matter more as sectors move closer to the frontier.</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14. Falsification and competing explanations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The Information-Frontier Hypothesis should be weakened if credible studies find that information-access shocks do not reduce search diversity or invention value, that frontier-proximate research is no more sensitive than catch-up activity, that networked and non-networked researchers are affected similarly, or that exploratory research and unusual interdisciplinary combinations do not respond measurably to changes in information access.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Any macroeconomic interpretation must also distinguish information effects from demographic aging, labor-force decline, property-sector adjustment, debt, capital allocation, industrial policy, tariffs and export controls, geopolitical fragmentation, education, finance, regional inequality, and weak domestic consumption. The IMF identifies several of these as independent medium-term constraints. IMF Article IV.</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The theory is useful only if it can fail. Evidence inconsistent with it should narrow or revise the claim rather than be absorbed rhetorically into the hypothesis.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Conclusion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Mainland China’s development record does not fit simple theories. Extensive information controls did not prevent rapid catch-up, sophisticated engineering, large-scale R&amp;D, internationally significant technology firms, or major innovation clusters. That record is part of the evidence, not an inconvenience to be explained away.</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The economically meaningful question is counterfactual. Mainland China has accumulated large stocks of human capital, scientific infrastructure, engineering expertise, industrial capability, capital, and research expenditure. Those complementary assets increase the possible value of a broader knowledge-search space. The 2014 Google-blockade study provides credible evidence that an information shock can narrow distant search and reduce invention value, especially in science-proximate fields, while collaboration networks can mitigate the effect. That finding identifies a mechanism; it does not establish an economy-wide cost.</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The paper therefore proposes that the Great Firewall be studied as a knowledge-allocation institution whose economic effects may vary with development stage and with the availability of alternative networks. The resulting research question is not whether information control prevents innovation. It is whether the marginal productivity of mainland China’s existing scientific and entrepreneurial capacity would be different under a larger, more heterogeneous, and more securely protected search environment.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That question cannot be settled by political preference or by national innovation rankings. It requires causal evidence.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Selected Sources</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 International Monetary Fund, 2025 Article IV Consultation with the People’s Republic of China, February 18, 2026.</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 National Bureau of Statistics of the PRC, Statistical Communiqué on 2025 National Economic and Social Development.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 World Intellectual Property Organization, Global Innovation Index 2025.</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 World Intellectual Property Organization, Global Innovation Index 2025 — Innovation Cluster Ranking.</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 Yanfeng Zheng and Qinyu (Ryan) Wang, “Shadow of the Great Firewall: The Impact of Google Blockade on Innovation in China,” Strategic Management Journal 41 (2020): 2234–2260.</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 World Bank and Development Research Center of the State Council, China 2030: Building a Modern, Harmonious, and Creative High-Income Society.</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 Congressional-Executive Commission on China, Charter 08 — Chinese and English Text.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Version note: Working Paper 1.0 is the first citable publication edition. Its Information-Frontier Hypothesis remains falsifiable and subject to revision as the comparative dataset, Great Firewall event dataset, and empirical appendix expand. The paper distinguishes empirical findings from Free China Movement institutional analysis and does not treat political-system labels as substitutes for measured mechanisms.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PUBLICATION INFORMATION</w:t>
      </w:r>
    </w:p>
    <w:p w:rsidR="00000000" w:rsidDel="00000000" w:rsidP="00000000" w:rsidRDefault="00000000" w:rsidRPr="00000000" w14:paraId="000000BA">
      <w:pPr>
        <w:rPr/>
      </w:pPr>
      <w:r w:rsidDel="00000000" w:rsidR="00000000" w:rsidRPr="00000000">
        <w:rPr>
          <w:rtl w:val="0"/>
        </w:rPr>
        <w:t xml:space="preserve">Version: Working Paper 1.0</w:t>
      </w:r>
    </w:p>
    <w:p w:rsidR="00000000" w:rsidDel="00000000" w:rsidP="00000000" w:rsidRDefault="00000000" w:rsidRPr="00000000" w14:paraId="000000BB">
      <w:pPr>
        <w:rPr/>
      </w:pPr>
      <w:r w:rsidDel="00000000" w:rsidR="00000000" w:rsidRPr="00000000">
        <w:rPr>
          <w:rtl w:val="0"/>
        </w:rPr>
        <w:t xml:space="preserve">Publication date: September 2026</w:t>
      </w:r>
    </w:p>
    <w:p w:rsidR="00000000" w:rsidDel="00000000" w:rsidP="00000000" w:rsidRDefault="00000000" w:rsidRPr="00000000" w14:paraId="000000BC">
      <w:pPr>
        <w:rPr/>
      </w:pPr>
      <w:r w:rsidDel="00000000" w:rsidR="00000000" w:rsidRPr="00000000">
        <w:rPr>
          <w:rtl w:val="0"/>
        </w:rPr>
        <w:t xml:space="preserve">Institutional author: Free China Movement</w:t>
      </w:r>
    </w:p>
    <w:p w:rsidR="00000000" w:rsidDel="00000000" w:rsidP="00000000" w:rsidRDefault="00000000" w:rsidRPr="00000000" w14:paraId="000000BD">
      <w:pPr>
        <w:rPr/>
      </w:pPr>
      <w:r w:rsidDel="00000000" w:rsidR="00000000" w:rsidRPr="00000000">
        <w:rPr>
          <w:rtl w:val="0"/>
        </w:rPr>
        <w:t xml:space="preserve">Copyright: © 2026 Free China Movement. All rights reserved.</w:t>
      </w:r>
    </w:p>
    <w:p w:rsidR="00000000" w:rsidDel="00000000" w:rsidP="00000000" w:rsidRDefault="00000000" w:rsidRPr="00000000" w14:paraId="000000BE">
      <w:pPr>
        <w:rPr/>
      </w:pPr>
      <w:r w:rsidDel="00000000" w:rsidR="00000000" w:rsidRPr="00000000">
        <w:rPr>
          <w:rtl w:val="0"/>
        </w:rPr>
        <w:t xml:space="preserve">Canonical URL: https://freechina.live/china-news-updates/research-historical-verification/innovation-tax-great-firewall-mainland-china-working-paper-1-0/</w:t>
      </w:r>
    </w:p>
    <w:p w:rsidR="00000000" w:rsidDel="00000000" w:rsidP="00000000" w:rsidRDefault="00000000" w:rsidRPr="00000000" w14:paraId="000000BF">
      <w:pPr>
        <w:rPr/>
      </w:pPr>
      <w:r w:rsidDel="00000000" w:rsidR="00000000" w:rsidRPr="00000000">
        <w:rPr>
          <w:rtl w:val="0"/>
        </w:rPr>
        <w:t xml:space="preserve">Suggested citation: Free China Movement. “The Innovation Tax of the Great Firewall: Information Control, Economic Catch-Up, and Mainland China’s Transition to a Frontier Economy.” Working Paper 1.0, September 2026. FreeChina.live.</w:t>
      </w:r>
    </w:p>
    <w:p w:rsidR="00000000" w:rsidDel="00000000" w:rsidP="00000000" w:rsidRDefault="00000000" w:rsidRPr="00000000" w14:paraId="000000C0">
      <w:pPr>
        <w:rPr/>
      </w:pPr>
      <w:r w:rsidDel="00000000" w:rsidR="00000000" w:rsidRPr="00000000">
        <w:rPr>
          <w:rtl w:val="0"/>
        </w:rPr>
        <w:t xml:space="preserve">Editorial note: Preserve the Information-Frontier Hypothesis as a falsifiable FCM analytical proposition, maintain the cautious causal language, and distinguish empirical findings from FCM institutional analysis.</w:t>
      </w:r>
    </w:p>
    <w:p w:rsidR="00000000" w:rsidDel="00000000" w:rsidP="00000000" w:rsidRDefault="00000000" w:rsidRPr="00000000" w14:paraId="000000C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